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BEAA8" w14:textId="77777777" w:rsidR="00771EF4" w:rsidRPr="00362D6A" w:rsidRDefault="0029205D" w:rsidP="0029205D">
      <w:pPr>
        <w:jc w:val="center"/>
        <w:rPr>
          <w:b/>
          <w:sz w:val="28"/>
        </w:rPr>
      </w:pPr>
      <w:r w:rsidRPr="00362D6A">
        <w:rPr>
          <w:b/>
          <w:sz w:val="28"/>
        </w:rPr>
        <w:t>General Education Curriculum: Diversity, Equity &amp; Inclusion (DEI) Inquiry Rubric</w:t>
      </w:r>
    </w:p>
    <w:p w14:paraId="65960DD0" w14:textId="77777777" w:rsidR="0029205D" w:rsidRPr="00362D6A" w:rsidRDefault="0029205D" w:rsidP="00771EF4">
      <w:pPr>
        <w:rPr>
          <w:sz w:val="22"/>
        </w:rPr>
      </w:pPr>
    </w:p>
    <w:p w14:paraId="489CDC26" w14:textId="1515643F" w:rsidR="00C47EC8" w:rsidRPr="00485A29" w:rsidRDefault="0029205D" w:rsidP="00771EF4">
      <w:pPr>
        <w:rPr>
          <w:sz w:val="22"/>
          <w:szCs w:val="22"/>
        </w:rPr>
      </w:pPr>
      <w:r w:rsidRPr="00485A29">
        <w:rPr>
          <w:sz w:val="22"/>
          <w:szCs w:val="22"/>
        </w:rPr>
        <w:t xml:space="preserve">The Diversity, Equity and Inclusion (DEI) Inquiry rubric was developed through faculty </w:t>
      </w:r>
      <w:r w:rsidR="00A61424" w:rsidRPr="00485A29">
        <w:rPr>
          <w:sz w:val="22"/>
          <w:szCs w:val="22"/>
        </w:rPr>
        <w:t xml:space="preserve">and student </w:t>
      </w:r>
      <w:r w:rsidRPr="00485A29">
        <w:rPr>
          <w:sz w:val="22"/>
          <w:szCs w:val="22"/>
        </w:rPr>
        <w:t>consultation and members of the General Education Oversight Committee at Wayne State University</w:t>
      </w:r>
      <w:r w:rsidR="00C47EC8" w:rsidRPr="00485A29">
        <w:rPr>
          <w:sz w:val="22"/>
          <w:szCs w:val="22"/>
        </w:rPr>
        <w:t xml:space="preserve"> (WSU)</w:t>
      </w:r>
      <w:r w:rsidRPr="00485A29">
        <w:rPr>
          <w:sz w:val="22"/>
          <w:szCs w:val="22"/>
        </w:rPr>
        <w:t xml:space="preserve">. The rubric was modeled after VALUE rubrics created by the Association of American Colleges and Universities (AAC&amp;U). The rubric articulates fundamental criteria for each learning outcome required for DEI under the General Education program. It contains performance descriptors demonstrating progressively higher levels of learnedness. The rubric is intended for institutional-level use in evaluating and discussing student learning within the General Education curriculum, not for grading. </w:t>
      </w:r>
    </w:p>
    <w:p w14:paraId="44B673BF" w14:textId="77777777" w:rsidR="00C47EC8" w:rsidRPr="00485A29" w:rsidRDefault="00C47EC8" w:rsidP="00771EF4">
      <w:pPr>
        <w:rPr>
          <w:sz w:val="22"/>
          <w:szCs w:val="22"/>
        </w:rPr>
      </w:pPr>
    </w:p>
    <w:p w14:paraId="26834D57" w14:textId="77777777" w:rsidR="0029205D" w:rsidRPr="00485A29" w:rsidRDefault="00C47EC8" w:rsidP="00771EF4">
      <w:pPr>
        <w:rPr>
          <w:sz w:val="22"/>
          <w:szCs w:val="22"/>
        </w:rPr>
      </w:pPr>
      <w:r w:rsidRPr="00485A29">
        <w:rPr>
          <w:sz w:val="22"/>
          <w:szCs w:val="22"/>
        </w:rPr>
        <w:t xml:space="preserve">DEI is a Group Requirement (Inquiry Courses) of the General Education program at WSU. The overall goal of the inquiry courses is “to help introduce students to the different perspective, methodologies, and questions that shape the production of knowledge.” (see </w:t>
      </w:r>
      <w:hyperlink r:id="rId11" w:anchor="text" w:history="1">
        <w:r w:rsidRPr="00485A29">
          <w:rPr>
            <w:rStyle w:val="Hyperlink"/>
            <w:sz w:val="22"/>
            <w:szCs w:val="22"/>
          </w:rPr>
          <w:t>Academic Bulletin</w:t>
        </w:r>
      </w:hyperlink>
      <w:r w:rsidRPr="00485A29">
        <w:rPr>
          <w:sz w:val="22"/>
          <w:szCs w:val="22"/>
        </w:rPr>
        <w:t>)</w:t>
      </w:r>
    </w:p>
    <w:p w14:paraId="163ACC1D" w14:textId="77777777" w:rsidR="0029205D" w:rsidRPr="00485A29" w:rsidRDefault="0029205D" w:rsidP="00771EF4">
      <w:pPr>
        <w:rPr>
          <w:sz w:val="22"/>
          <w:szCs w:val="22"/>
        </w:rPr>
      </w:pPr>
    </w:p>
    <w:p w14:paraId="68B52F47" w14:textId="77777777" w:rsidR="0029205D" w:rsidRPr="00485A29" w:rsidRDefault="00C47EC8" w:rsidP="00771EF4">
      <w:pPr>
        <w:rPr>
          <w:sz w:val="22"/>
          <w:szCs w:val="22"/>
        </w:rPr>
      </w:pPr>
      <w:r w:rsidRPr="00485A29">
        <w:rPr>
          <w:sz w:val="22"/>
          <w:szCs w:val="22"/>
        </w:rPr>
        <w:t xml:space="preserve">DEI has </w:t>
      </w:r>
      <w:hyperlink r:id="rId12" w:anchor="text" w:history="1">
        <w:r w:rsidRPr="00485A29">
          <w:rPr>
            <w:rStyle w:val="Hyperlink"/>
            <w:sz w:val="22"/>
            <w:szCs w:val="22"/>
          </w:rPr>
          <w:t>five program learning outcomes</w:t>
        </w:r>
      </w:hyperlink>
      <w:r w:rsidRPr="00485A29">
        <w:rPr>
          <w:sz w:val="22"/>
          <w:szCs w:val="22"/>
        </w:rPr>
        <w:t>. After successful completion of the DEI requirement, students will be able to demonstrate their ability to:</w:t>
      </w:r>
    </w:p>
    <w:p w14:paraId="09E3A038" w14:textId="77777777" w:rsidR="00C47EC8" w:rsidRPr="00485A29" w:rsidRDefault="00C47EC8" w:rsidP="00C47EC8">
      <w:pPr>
        <w:pStyle w:val="ListParagraph"/>
        <w:numPr>
          <w:ilvl w:val="0"/>
          <w:numId w:val="1"/>
        </w:numPr>
        <w:rPr>
          <w:sz w:val="22"/>
          <w:szCs w:val="22"/>
        </w:rPr>
      </w:pPr>
      <w:r w:rsidRPr="00485A29">
        <w:rPr>
          <w:sz w:val="22"/>
          <w:szCs w:val="22"/>
        </w:rPr>
        <w:t xml:space="preserve">Compare complex categories of social group memberships as they relate to our local </w:t>
      </w:r>
      <w:r w:rsidR="00B96D89" w:rsidRPr="00485A29">
        <w:rPr>
          <w:sz w:val="22"/>
          <w:szCs w:val="22"/>
        </w:rPr>
        <w:t>and national contexts, democratic traditions, and contemporary struggles.</w:t>
      </w:r>
    </w:p>
    <w:p w14:paraId="7C864D9F" w14:textId="77777777" w:rsidR="00B96D89" w:rsidRPr="00485A29" w:rsidRDefault="00B96D89" w:rsidP="00C47EC8">
      <w:pPr>
        <w:pStyle w:val="ListParagraph"/>
        <w:numPr>
          <w:ilvl w:val="0"/>
          <w:numId w:val="1"/>
        </w:numPr>
        <w:rPr>
          <w:sz w:val="22"/>
          <w:szCs w:val="22"/>
        </w:rPr>
      </w:pPr>
      <w:r w:rsidRPr="00485A29">
        <w:rPr>
          <w:sz w:val="22"/>
          <w:szCs w:val="22"/>
        </w:rPr>
        <w:t>Recognize the relationship between contemporary diversity-related issues and U.S. history, institutions, practices, and policies.</w:t>
      </w:r>
    </w:p>
    <w:p w14:paraId="475CBF54" w14:textId="77777777" w:rsidR="00B96D89" w:rsidRPr="00485A29" w:rsidRDefault="00B96D89" w:rsidP="00C47EC8">
      <w:pPr>
        <w:pStyle w:val="ListParagraph"/>
        <w:numPr>
          <w:ilvl w:val="0"/>
          <w:numId w:val="1"/>
        </w:numPr>
        <w:rPr>
          <w:sz w:val="22"/>
          <w:szCs w:val="22"/>
        </w:rPr>
      </w:pPr>
      <w:r w:rsidRPr="00485A29">
        <w:rPr>
          <w:sz w:val="22"/>
          <w:szCs w:val="22"/>
        </w:rPr>
        <w:t>Examine the roots of individual cultural values and prejudices and how they influence behavior.</w:t>
      </w:r>
    </w:p>
    <w:p w14:paraId="4C24C904" w14:textId="434875A1" w:rsidR="00B96D89" w:rsidRPr="00485A29" w:rsidRDefault="00B96D89" w:rsidP="00C47EC8">
      <w:pPr>
        <w:pStyle w:val="ListParagraph"/>
        <w:numPr>
          <w:ilvl w:val="0"/>
          <w:numId w:val="1"/>
        </w:numPr>
        <w:rPr>
          <w:sz w:val="22"/>
          <w:szCs w:val="22"/>
        </w:rPr>
      </w:pPr>
      <w:r w:rsidRPr="00485A29">
        <w:rPr>
          <w:sz w:val="22"/>
          <w:szCs w:val="22"/>
        </w:rPr>
        <w:t xml:space="preserve">Identify the ethical and moral issues present in complex domestic </w:t>
      </w:r>
      <w:r w:rsidR="005C4232" w:rsidRPr="00485A29">
        <w:rPr>
          <w:sz w:val="22"/>
          <w:szCs w:val="22"/>
        </w:rPr>
        <w:t>(</w:t>
      </w:r>
      <w:r w:rsidR="00485A29">
        <w:rPr>
          <w:sz w:val="22"/>
          <w:szCs w:val="22"/>
        </w:rPr>
        <w:t>U.S.</w:t>
      </w:r>
      <w:r w:rsidR="005C4232" w:rsidRPr="00485A29">
        <w:rPr>
          <w:sz w:val="22"/>
          <w:szCs w:val="22"/>
        </w:rPr>
        <w:t xml:space="preserve">) </w:t>
      </w:r>
      <w:r w:rsidRPr="00485A29">
        <w:rPr>
          <w:sz w:val="22"/>
          <w:szCs w:val="22"/>
        </w:rPr>
        <w:t>situations and articulate informed responses to ambiguity and disagreement.</w:t>
      </w:r>
    </w:p>
    <w:p w14:paraId="3A406D94" w14:textId="77777777" w:rsidR="00B96D89" w:rsidRPr="00485A29" w:rsidRDefault="00B96D89" w:rsidP="00C47EC8">
      <w:pPr>
        <w:pStyle w:val="ListParagraph"/>
        <w:numPr>
          <w:ilvl w:val="0"/>
          <w:numId w:val="1"/>
        </w:numPr>
        <w:rPr>
          <w:sz w:val="22"/>
          <w:szCs w:val="22"/>
        </w:rPr>
      </w:pPr>
      <w:r w:rsidRPr="00485A29">
        <w:rPr>
          <w:sz w:val="22"/>
          <w:szCs w:val="22"/>
        </w:rPr>
        <w:t xml:space="preserve">Demonstrate understanding </w:t>
      </w:r>
      <w:r w:rsidR="00E66849" w:rsidRPr="00485A29">
        <w:rPr>
          <w:sz w:val="22"/>
          <w:szCs w:val="22"/>
        </w:rPr>
        <w:t>of the key issues of the course by analyzing, proposing, or engaging in strategies that promote equity at the local or national level.</w:t>
      </w:r>
    </w:p>
    <w:p w14:paraId="54B89969" w14:textId="77777777" w:rsidR="0029205D" w:rsidRPr="00485A29" w:rsidRDefault="0029205D" w:rsidP="00771EF4">
      <w:pPr>
        <w:rPr>
          <w:sz w:val="22"/>
          <w:szCs w:val="22"/>
        </w:rPr>
      </w:pPr>
    </w:p>
    <w:p w14:paraId="48E23865" w14:textId="77777777" w:rsidR="00E66849" w:rsidRPr="00485A29" w:rsidRDefault="00E66849" w:rsidP="00E66849">
      <w:pPr>
        <w:jc w:val="center"/>
        <w:rPr>
          <w:b/>
          <w:sz w:val="22"/>
          <w:szCs w:val="22"/>
        </w:rPr>
      </w:pPr>
      <w:r w:rsidRPr="00485A29">
        <w:rPr>
          <w:b/>
          <w:sz w:val="22"/>
          <w:szCs w:val="22"/>
        </w:rPr>
        <w:t>Glossary</w:t>
      </w:r>
      <w:r w:rsidR="00890A59" w:rsidRPr="00485A29">
        <w:rPr>
          <w:b/>
          <w:sz w:val="22"/>
          <w:szCs w:val="22"/>
        </w:rPr>
        <w:t xml:space="preserve"> for Terms and Concepts used in the Rubric</w:t>
      </w:r>
    </w:p>
    <w:p w14:paraId="19C1AF4A" w14:textId="77777777" w:rsidR="009A3E84" w:rsidRPr="00485A29" w:rsidRDefault="009A3E84" w:rsidP="00E66849">
      <w:pPr>
        <w:jc w:val="center"/>
        <w:rPr>
          <w:b/>
          <w:sz w:val="22"/>
          <w:szCs w:val="22"/>
        </w:rPr>
      </w:pPr>
    </w:p>
    <w:p w14:paraId="76B79383" w14:textId="7BA301F8" w:rsidR="009A3E84" w:rsidRPr="00485A29" w:rsidRDefault="009A3E84" w:rsidP="00E66849">
      <w:pPr>
        <w:jc w:val="center"/>
        <w:rPr>
          <w:rFonts w:eastAsia="Times New Roman"/>
          <w:b/>
          <w:bCs/>
          <w:i/>
          <w:iCs/>
          <w:sz w:val="22"/>
          <w:szCs w:val="22"/>
        </w:rPr>
      </w:pPr>
      <w:r w:rsidRPr="00485A29">
        <w:rPr>
          <w:rFonts w:eastAsia="Times New Roman"/>
          <w:b/>
          <w:bCs/>
          <w:i/>
          <w:iCs/>
          <w:sz w:val="22"/>
          <w:szCs w:val="22"/>
        </w:rPr>
        <w:t>The definitions that follow were developed to clarify terms and concepts used in this rubric only.</w:t>
      </w:r>
    </w:p>
    <w:p w14:paraId="378F9130" w14:textId="77777777" w:rsidR="009A3E84" w:rsidRPr="00485A29" w:rsidRDefault="009A3E84" w:rsidP="00E66849">
      <w:pPr>
        <w:jc w:val="center"/>
        <w:rPr>
          <w:b/>
          <w:sz w:val="22"/>
          <w:szCs w:val="22"/>
        </w:rPr>
      </w:pPr>
    </w:p>
    <w:p w14:paraId="299A6012" w14:textId="77777777" w:rsidR="0095792F" w:rsidRPr="00485A29" w:rsidRDefault="0095792F" w:rsidP="00ED7AD9">
      <w:pPr>
        <w:pStyle w:val="ListParagraph"/>
        <w:numPr>
          <w:ilvl w:val="0"/>
          <w:numId w:val="2"/>
        </w:numPr>
        <w:ind w:left="360"/>
        <w:rPr>
          <w:sz w:val="22"/>
          <w:szCs w:val="22"/>
        </w:rPr>
      </w:pPr>
      <w:r w:rsidRPr="00485A29">
        <w:rPr>
          <w:sz w:val="22"/>
          <w:szCs w:val="22"/>
        </w:rPr>
        <w:t>Culture: All knowledge</w:t>
      </w:r>
      <w:r w:rsidR="006B7A8B" w:rsidRPr="00485A29">
        <w:rPr>
          <w:sz w:val="22"/>
          <w:szCs w:val="22"/>
        </w:rPr>
        <w:t>, practices</w:t>
      </w:r>
      <w:r w:rsidRPr="00485A29">
        <w:rPr>
          <w:sz w:val="22"/>
          <w:szCs w:val="22"/>
        </w:rPr>
        <w:t xml:space="preserve"> and values shared by a group.</w:t>
      </w:r>
    </w:p>
    <w:p w14:paraId="2264632A" w14:textId="4400CDAE" w:rsidR="00801499" w:rsidRPr="00485A29" w:rsidRDefault="00801499" w:rsidP="00ED7AD9">
      <w:pPr>
        <w:pStyle w:val="ListParagraph"/>
        <w:numPr>
          <w:ilvl w:val="0"/>
          <w:numId w:val="2"/>
        </w:numPr>
        <w:ind w:left="360"/>
        <w:rPr>
          <w:sz w:val="22"/>
          <w:szCs w:val="22"/>
        </w:rPr>
      </w:pPr>
      <w:r w:rsidRPr="00485A29">
        <w:rPr>
          <w:sz w:val="22"/>
          <w:szCs w:val="22"/>
        </w:rPr>
        <w:t xml:space="preserve">Diversity: </w:t>
      </w:r>
      <w:r w:rsidR="0095792F" w:rsidRPr="00485A29">
        <w:rPr>
          <w:sz w:val="22"/>
          <w:szCs w:val="22"/>
        </w:rPr>
        <w:t>A</w:t>
      </w:r>
      <w:r w:rsidRPr="00485A29">
        <w:rPr>
          <w:sz w:val="22"/>
          <w:szCs w:val="22"/>
        </w:rPr>
        <w:t xml:space="preserve">cknowledges different </w:t>
      </w:r>
      <w:r w:rsidR="0095792F" w:rsidRPr="00485A29">
        <w:rPr>
          <w:sz w:val="22"/>
          <w:szCs w:val="22"/>
        </w:rPr>
        <w:t xml:space="preserve">types of people in a group or organization, generally with different </w:t>
      </w:r>
      <w:r w:rsidRPr="00485A29">
        <w:rPr>
          <w:sz w:val="22"/>
          <w:szCs w:val="22"/>
        </w:rPr>
        <w:t>origins</w:t>
      </w:r>
      <w:r w:rsidR="0095792F" w:rsidRPr="00485A29">
        <w:rPr>
          <w:sz w:val="22"/>
          <w:szCs w:val="22"/>
        </w:rPr>
        <w:t>,</w:t>
      </w:r>
      <w:r w:rsidRPr="00485A29">
        <w:rPr>
          <w:sz w:val="22"/>
          <w:szCs w:val="22"/>
        </w:rPr>
        <w:t xml:space="preserve"> cultural heritage, </w:t>
      </w:r>
      <w:r w:rsidR="0095792F" w:rsidRPr="00485A29">
        <w:rPr>
          <w:sz w:val="22"/>
          <w:szCs w:val="22"/>
        </w:rPr>
        <w:t xml:space="preserve">demographic and </w:t>
      </w:r>
      <w:r w:rsidRPr="00485A29">
        <w:rPr>
          <w:sz w:val="22"/>
          <w:szCs w:val="22"/>
        </w:rPr>
        <w:t xml:space="preserve">social </w:t>
      </w:r>
      <w:r w:rsidR="0095792F" w:rsidRPr="00485A29">
        <w:rPr>
          <w:sz w:val="22"/>
          <w:szCs w:val="22"/>
        </w:rPr>
        <w:t>characteristics</w:t>
      </w:r>
      <w:r w:rsidRPr="00485A29">
        <w:rPr>
          <w:sz w:val="22"/>
          <w:szCs w:val="22"/>
        </w:rPr>
        <w:t xml:space="preserve">, </w:t>
      </w:r>
      <w:r w:rsidR="0095792F" w:rsidRPr="00485A29">
        <w:rPr>
          <w:sz w:val="22"/>
          <w:szCs w:val="22"/>
        </w:rPr>
        <w:t xml:space="preserve">and placement within power structures that determine hierarchies, inequalities, and opportunities and which can vary over time and place. This can include, but is not limited to, race, ethnicity, gender, nationhood, religion, and </w:t>
      </w:r>
      <w:r w:rsidR="001817B5" w:rsidRPr="00485A29">
        <w:rPr>
          <w:sz w:val="22"/>
          <w:szCs w:val="22"/>
        </w:rPr>
        <w:t>socio-economic stratification</w:t>
      </w:r>
      <w:r w:rsidR="0095792F" w:rsidRPr="00485A29">
        <w:rPr>
          <w:sz w:val="22"/>
          <w:szCs w:val="22"/>
        </w:rPr>
        <w:t>.</w:t>
      </w:r>
      <w:r w:rsidRPr="00485A29">
        <w:rPr>
          <w:sz w:val="22"/>
          <w:szCs w:val="22"/>
        </w:rPr>
        <w:t xml:space="preserve"> </w:t>
      </w:r>
    </w:p>
    <w:p w14:paraId="403B617C" w14:textId="451F31A0" w:rsidR="00801499" w:rsidRPr="00485A29" w:rsidRDefault="00ED7AD9" w:rsidP="001817B5">
      <w:pPr>
        <w:pStyle w:val="ListParagraph"/>
        <w:numPr>
          <w:ilvl w:val="0"/>
          <w:numId w:val="2"/>
        </w:numPr>
        <w:ind w:left="360"/>
        <w:rPr>
          <w:sz w:val="22"/>
          <w:szCs w:val="22"/>
        </w:rPr>
      </w:pPr>
      <w:r w:rsidRPr="00485A29">
        <w:rPr>
          <w:sz w:val="22"/>
          <w:szCs w:val="22"/>
        </w:rPr>
        <w:t>Ethical perspectives/ concepts: The different theoretical means through which ethical issues are analyzed, such as ethical theories (e.g., utilitarian, natural law, virtue) or ethical concepts (e.g., rights, justice, duty)</w:t>
      </w:r>
    </w:p>
    <w:p w14:paraId="4117988E" w14:textId="552DFAD6" w:rsidR="006B7A8B" w:rsidRPr="00485A29" w:rsidRDefault="006B7A8B" w:rsidP="00ED7AD9">
      <w:pPr>
        <w:pStyle w:val="ListParagraph"/>
        <w:numPr>
          <w:ilvl w:val="0"/>
          <w:numId w:val="2"/>
        </w:numPr>
        <w:ind w:left="360"/>
        <w:rPr>
          <w:sz w:val="22"/>
          <w:szCs w:val="22"/>
        </w:rPr>
      </w:pPr>
      <w:r w:rsidRPr="00485A29">
        <w:rPr>
          <w:sz w:val="22"/>
          <w:szCs w:val="22"/>
        </w:rPr>
        <w:t xml:space="preserve">Civic action: </w:t>
      </w:r>
      <w:r w:rsidR="000A4411" w:rsidRPr="00485A29">
        <w:rPr>
          <w:sz w:val="22"/>
          <w:szCs w:val="22"/>
          <w:shd w:val="clear" w:color="auto" w:fill="FFFFFF"/>
        </w:rPr>
        <w:t>The knowledge, skills, and values to make a difference in civic life through political and nonpolitical processes</w:t>
      </w:r>
    </w:p>
    <w:p w14:paraId="414464E4" w14:textId="77777777" w:rsidR="00771EF4" w:rsidRPr="00485A29" w:rsidRDefault="00771EF4" w:rsidP="00771EF4">
      <w:pPr>
        <w:rPr>
          <w:sz w:val="22"/>
          <w:szCs w:val="22"/>
        </w:rPr>
      </w:pPr>
    </w:p>
    <w:p w14:paraId="70618A81" w14:textId="6C40C8BE" w:rsidR="002C7FE3" w:rsidRPr="00485A29" w:rsidRDefault="002C7FE3" w:rsidP="00771EF4">
      <w:pPr>
        <w:rPr>
          <w:sz w:val="22"/>
          <w:szCs w:val="22"/>
        </w:rPr>
      </w:pPr>
    </w:p>
    <w:p w14:paraId="1C9F5BD4" w14:textId="0D2A4306" w:rsidR="00485A29" w:rsidRDefault="00485A29" w:rsidP="00485A29">
      <w:pPr>
        <w:jc w:val="center"/>
        <w:rPr>
          <w:rFonts w:eastAsia="Times New Roman"/>
          <w:b/>
          <w:bCs/>
          <w:sz w:val="22"/>
          <w:szCs w:val="22"/>
        </w:rPr>
      </w:pPr>
      <w:r w:rsidRPr="00485A29">
        <w:rPr>
          <w:rFonts w:eastAsia="Times New Roman"/>
          <w:b/>
          <w:bCs/>
          <w:sz w:val="22"/>
          <w:szCs w:val="22"/>
        </w:rPr>
        <w:t>How to Use the Rubric</w:t>
      </w:r>
    </w:p>
    <w:p w14:paraId="2959E98A" w14:textId="77777777" w:rsidR="00485A29" w:rsidRPr="00485A29" w:rsidRDefault="00485A29" w:rsidP="00485A29">
      <w:pPr>
        <w:jc w:val="center"/>
        <w:rPr>
          <w:rFonts w:eastAsia="Times New Roman"/>
          <w:bCs/>
          <w:sz w:val="22"/>
          <w:szCs w:val="22"/>
        </w:rPr>
      </w:pPr>
    </w:p>
    <w:p w14:paraId="2892974E" w14:textId="0D842344" w:rsidR="00485A29" w:rsidRPr="00485A29" w:rsidRDefault="00485A29" w:rsidP="00485A29">
      <w:pPr>
        <w:pStyle w:val="ListParagraph"/>
        <w:numPr>
          <w:ilvl w:val="0"/>
          <w:numId w:val="3"/>
        </w:numPr>
        <w:spacing w:after="160" w:line="259" w:lineRule="auto"/>
        <w:ind w:left="360"/>
        <w:rPr>
          <w:rFonts w:eastAsia="Times New Roman"/>
          <w:sz w:val="22"/>
          <w:szCs w:val="22"/>
        </w:rPr>
      </w:pPr>
      <w:r w:rsidRPr="00485A29">
        <w:rPr>
          <w:rFonts w:eastAsia="Times New Roman"/>
          <w:sz w:val="22"/>
          <w:szCs w:val="22"/>
        </w:rPr>
        <w:t xml:space="preserve">Faculty teaching </w:t>
      </w:r>
      <w:r w:rsidR="006B08AA">
        <w:rPr>
          <w:rFonts w:eastAsia="Times New Roman"/>
          <w:sz w:val="22"/>
          <w:szCs w:val="22"/>
        </w:rPr>
        <w:t>DEI</w:t>
      </w:r>
      <w:r w:rsidRPr="00485A29">
        <w:rPr>
          <w:rFonts w:eastAsia="Times New Roman"/>
          <w:sz w:val="22"/>
          <w:szCs w:val="22"/>
        </w:rPr>
        <w:t xml:space="preserve"> courses select one or more assignments that elicit the </w:t>
      </w:r>
      <w:r w:rsidR="006B08AA">
        <w:rPr>
          <w:rFonts w:eastAsia="Times New Roman"/>
          <w:sz w:val="22"/>
          <w:szCs w:val="22"/>
        </w:rPr>
        <w:t>DE</w:t>
      </w:r>
      <w:r w:rsidRPr="00485A29">
        <w:rPr>
          <w:rFonts w:eastAsia="Times New Roman"/>
          <w:sz w:val="22"/>
          <w:szCs w:val="22"/>
        </w:rPr>
        <w:t>I learning outcomes.</w:t>
      </w:r>
    </w:p>
    <w:p w14:paraId="1AC34329" w14:textId="77777777" w:rsidR="00485A29" w:rsidRPr="00485A29" w:rsidRDefault="00485A29" w:rsidP="00485A29">
      <w:pPr>
        <w:pStyle w:val="ListParagraph"/>
        <w:numPr>
          <w:ilvl w:val="0"/>
          <w:numId w:val="3"/>
        </w:numPr>
        <w:spacing w:after="160" w:line="259" w:lineRule="auto"/>
        <w:ind w:left="360"/>
        <w:rPr>
          <w:rFonts w:eastAsia="Times New Roman"/>
          <w:sz w:val="22"/>
          <w:szCs w:val="22"/>
        </w:rPr>
      </w:pPr>
      <w:r w:rsidRPr="00485A29">
        <w:rPr>
          <w:rFonts w:eastAsia="Times New Roman"/>
          <w:sz w:val="22"/>
          <w:szCs w:val="22"/>
        </w:rPr>
        <w:t xml:space="preserve">Faculty use the rubric to score their students’ work on the 4-point rubric scale. </w:t>
      </w:r>
    </w:p>
    <w:p w14:paraId="4FF43BBC" w14:textId="77777777" w:rsidR="00485A29" w:rsidRPr="00485A29" w:rsidRDefault="00485A29" w:rsidP="00485A29">
      <w:pPr>
        <w:pStyle w:val="ListParagraph"/>
        <w:numPr>
          <w:ilvl w:val="1"/>
          <w:numId w:val="3"/>
        </w:numPr>
        <w:spacing w:after="160" w:line="259" w:lineRule="auto"/>
        <w:rPr>
          <w:rFonts w:eastAsia="Times New Roman"/>
          <w:sz w:val="22"/>
          <w:szCs w:val="22"/>
        </w:rPr>
      </w:pPr>
      <w:r w:rsidRPr="00485A29">
        <w:rPr>
          <w:rFonts w:eastAsia="Times New Roman"/>
          <w:sz w:val="22"/>
          <w:szCs w:val="22"/>
        </w:rPr>
        <w:t>Details for reporting the results for your course(s) are provided on the GEOC website.</w:t>
      </w:r>
    </w:p>
    <w:p w14:paraId="638259EC" w14:textId="77777777" w:rsidR="00D26BB6" w:rsidRPr="00E41583" w:rsidRDefault="00D26BB6" w:rsidP="00D26BB6">
      <w:pPr>
        <w:pStyle w:val="ListParagraph"/>
        <w:numPr>
          <w:ilvl w:val="0"/>
          <w:numId w:val="3"/>
        </w:numPr>
        <w:spacing w:after="160" w:line="256" w:lineRule="auto"/>
        <w:ind w:left="360"/>
        <w:rPr>
          <w:rFonts w:eastAsia="Times New Roman"/>
          <w:sz w:val="22"/>
          <w:szCs w:val="22"/>
        </w:rPr>
      </w:pPr>
      <w:r w:rsidRPr="00E41583">
        <w:rPr>
          <w:rFonts w:eastAsia="Times New Roman"/>
          <w:sz w:val="22"/>
          <w:szCs w:val="22"/>
        </w:rPr>
        <w:t>The rubric scale is implicational: A “moderate” score indicates that the student has met the criteria for “low” AND “moderate”.  A “high” score indicates that the student has met the criteria for “low”, “moderate” AND “high”.</w:t>
      </w:r>
    </w:p>
    <w:p w14:paraId="71E05C28" w14:textId="77777777" w:rsidR="00C962A1" w:rsidRPr="00C962A1" w:rsidRDefault="00C962A1" w:rsidP="00C962A1">
      <w:pPr>
        <w:jc w:val="center"/>
        <w:rPr>
          <w:b/>
          <w:sz w:val="28"/>
        </w:rPr>
      </w:pPr>
      <w:r w:rsidRPr="00C962A1">
        <w:rPr>
          <w:b/>
          <w:sz w:val="28"/>
        </w:rPr>
        <w:lastRenderedPageBreak/>
        <w:t>General Education Curriculum: Diversity, Equity &amp; Inclusion (DEI) Inquiry Rubric</w:t>
      </w:r>
    </w:p>
    <w:p w14:paraId="4BD311E7" w14:textId="77777777" w:rsidR="00771EF4" w:rsidRDefault="00771EF4" w:rsidP="009D67E0">
      <w:pPr>
        <w:rPr>
          <w:sz w:val="20"/>
          <w:szCs w:val="20"/>
        </w:rPr>
      </w:pPr>
    </w:p>
    <w:tbl>
      <w:tblPr>
        <w:tblStyle w:val="TableGrid"/>
        <w:tblW w:w="14400" w:type="dxa"/>
        <w:tblLook w:val="04A0" w:firstRow="1" w:lastRow="0" w:firstColumn="1" w:lastColumn="0" w:noHBand="0" w:noVBand="1"/>
      </w:tblPr>
      <w:tblGrid>
        <w:gridCol w:w="2880"/>
        <w:gridCol w:w="2880"/>
        <w:gridCol w:w="2880"/>
        <w:gridCol w:w="2880"/>
        <w:gridCol w:w="2880"/>
      </w:tblGrid>
      <w:tr w:rsidR="009D67E0" w:rsidRPr="001817B5" w14:paraId="7A940ABE" w14:textId="77777777" w:rsidTr="001817B5">
        <w:tc>
          <w:tcPr>
            <w:tcW w:w="2880" w:type="dxa"/>
          </w:tcPr>
          <w:p w14:paraId="10B6D2DA" w14:textId="284B0ABB" w:rsidR="009D67E0" w:rsidRPr="00485A29" w:rsidRDefault="001817B5" w:rsidP="009D67E0">
            <w:pPr>
              <w:rPr>
                <w:b/>
                <w:sz w:val="22"/>
                <w:szCs w:val="22"/>
              </w:rPr>
            </w:pPr>
            <w:r w:rsidRPr="00485A29">
              <w:rPr>
                <w:b/>
                <w:sz w:val="22"/>
                <w:szCs w:val="22"/>
              </w:rPr>
              <w:t>Learning Outcome</w:t>
            </w:r>
          </w:p>
        </w:tc>
        <w:tc>
          <w:tcPr>
            <w:tcW w:w="2880" w:type="dxa"/>
            <w:tcBorders>
              <w:right w:val="single" w:sz="24" w:space="0" w:color="auto"/>
            </w:tcBorders>
          </w:tcPr>
          <w:p w14:paraId="56413CB1" w14:textId="77777777" w:rsidR="001817B5" w:rsidRPr="00485A29" w:rsidRDefault="001817B5" w:rsidP="009D67E0">
            <w:pPr>
              <w:jc w:val="center"/>
              <w:rPr>
                <w:b/>
                <w:sz w:val="22"/>
                <w:szCs w:val="22"/>
              </w:rPr>
            </w:pPr>
            <w:r w:rsidRPr="00485A29">
              <w:rPr>
                <w:b/>
                <w:sz w:val="22"/>
                <w:szCs w:val="22"/>
              </w:rPr>
              <w:t>(High)</w:t>
            </w:r>
          </w:p>
          <w:p w14:paraId="50C3AEE4" w14:textId="5635FB2F" w:rsidR="009D67E0" w:rsidRPr="00485A29" w:rsidRDefault="00042D3E" w:rsidP="009D67E0">
            <w:pPr>
              <w:jc w:val="center"/>
              <w:rPr>
                <w:b/>
                <w:sz w:val="22"/>
                <w:szCs w:val="22"/>
              </w:rPr>
            </w:pPr>
            <w:r>
              <w:rPr>
                <w:b/>
                <w:sz w:val="22"/>
                <w:szCs w:val="22"/>
              </w:rPr>
              <w:t>Analyze/</w:t>
            </w:r>
            <w:r w:rsidR="00984F30" w:rsidRPr="00485A29">
              <w:rPr>
                <w:b/>
                <w:sz w:val="22"/>
                <w:szCs w:val="22"/>
              </w:rPr>
              <w:t>Evaluate</w:t>
            </w:r>
          </w:p>
        </w:tc>
        <w:tc>
          <w:tcPr>
            <w:tcW w:w="2880" w:type="dxa"/>
            <w:tcBorders>
              <w:top w:val="single" w:sz="24" w:space="0" w:color="auto"/>
              <w:left w:val="single" w:sz="24" w:space="0" w:color="auto"/>
              <w:right w:val="single" w:sz="24" w:space="0" w:color="auto"/>
            </w:tcBorders>
          </w:tcPr>
          <w:p w14:paraId="5C05D792" w14:textId="77777777" w:rsidR="001817B5" w:rsidRPr="00485A29" w:rsidRDefault="001817B5" w:rsidP="009D67E0">
            <w:pPr>
              <w:jc w:val="center"/>
              <w:rPr>
                <w:b/>
                <w:sz w:val="22"/>
                <w:szCs w:val="22"/>
              </w:rPr>
            </w:pPr>
            <w:r w:rsidRPr="00485A29">
              <w:rPr>
                <w:b/>
                <w:sz w:val="22"/>
                <w:szCs w:val="22"/>
              </w:rPr>
              <w:t>(Moderate)</w:t>
            </w:r>
          </w:p>
          <w:p w14:paraId="7E19356B" w14:textId="24B7C67C" w:rsidR="009D67E0" w:rsidRPr="00485A29" w:rsidRDefault="00042D3E" w:rsidP="009D67E0">
            <w:pPr>
              <w:jc w:val="center"/>
              <w:rPr>
                <w:b/>
                <w:sz w:val="22"/>
                <w:szCs w:val="22"/>
              </w:rPr>
            </w:pPr>
            <w:r>
              <w:rPr>
                <w:b/>
                <w:sz w:val="22"/>
                <w:szCs w:val="22"/>
              </w:rPr>
              <w:t>Relate/</w:t>
            </w:r>
            <w:r w:rsidR="00984F30" w:rsidRPr="00485A29">
              <w:rPr>
                <w:b/>
                <w:sz w:val="22"/>
                <w:szCs w:val="22"/>
              </w:rPr>
              <w:t>Connect</w:t>
            </w:r>
          </w:p>
        </w:tc>
        <w:tc>
          <w:tcPr>
            <w:tcW w:w="2880" w:type="dxa"/>
            <w:tcBorders>
              <w:left w:val="single" w:sz="24" w:space="0" w:color="auto"/>
            </w:tcBorders>
          </w:tcPr>
          <w:p w14:paraId="03CB7484" w14:textId="2F41A427" w:rsidR="001817B5" w:rsidRPr="00485A29" w:rsidRDefault="001817B5" w:rsidP="009D67E0">
            <w:pPr>
              <w:jc w:val="center"/>
              <w:rPr>
                <w:b/>
                <w:sz w:val="22"/>
                <w:szCs w:val="22"/>
              </w:rPr>
            </w:pPr>
            <w:r w:rsidRPr="00485A29">
              <w:rPr>
                <w:b/>
                <w:sz w:val="22"/>
                <w:szCs w:val="22"/>
              </w:rPr>
              <w:t>(Low)</w:t>
            </w:r>
          </w:p>
          <w:p w14:paraId="28234CD9" w14:textId="6FF21BB4" w:rsidR="009D67E0" w:rsidRPr="00485A29" w:rsidRDefault="00042D3E" w:rsidP="009960D2">
            <w:pPr>
              <w:jc w:val="center"/>
              <w:rPr>
                <w:b/>
                <w:sz w:val="22"/>
                <w:szCs w:val="22"/>
              </w:rPr>
            </w:pPr>
            <w:r>
              <w:rPr>
                <w:b/>
                <w:sz w:val="22"/>
                <w:szCs w:val="22"/>
              </w:rPr>
              <w:t>Identify/</w:t>
            </w:r>
            <w:r w:rsidR="009960D2">
              <w:rPr>
                <w:b/>
                <w:sz w:val="22"/>
                <w:szCs w:val="22"/>
              </w:rPr>
              <w:t>Describe</w:t>
            </w:r>
          </w:p>
        </w:tc>
        <w:tc>
          <w:tcPr>
            <w:tcW w:w="2880" w:type="dxa"/>
          </w:tcPr>
          <w:p w14:paraId="610643B8" w14:textId="77777777" w:rsidR="001817B5" w:rsidRPr="00485A29" w:rsidRDefault="001817B5" w:rsidP="000D6E72">
            <w:pPr>
              <w:jc w:val="center"/>
              <w:rPr>
                <w:b/>
                <w:sz w:val="22"/>
                <w:szCs w:val="22"/>
              </w:rPr>
            </w:pPr>
            <w:r w:rsidRPr="00485A29">
              <w:rPr>
                <w:b/>
                <w:sz w:val="22"/>
                <w:szCs w:val="22"/>
              </w:rPr>
              <w:t>(No)</w:t>
            </w:r>
          </w:p>
          <w:p w14:paraId="6D47E7C9" w14:textId="6A1FCCF2" w:rsidR="009D67E0" w:rsidRPr="00485A29" w:rsidRDefault="000D6E72" w:rsidP="000D6E72">
            <w:pPr>
              <w:jc w:val="center"/>
              <w:rPr>
                <w:b/>
                <w:sz w:val="22"/>
                <w:szCs w:val="22"/>
              </w:rPr>
            </w:pPr>
            <w:r w:rsidRPr="00485A29">
              <w:rPr>
                <w:b/>
                <w:sz w:val="22"/>
                <w:szCs w:val="22"/>
              </w:rPr>
              <w:t>Limited</w:t>
            </w:r>
            <w:r w:rsidR="006B7A8B" w:rsidRPr="00485A29">
              <w:rPr>
                <w:b/>
                <w:sz w:val="22"/>
                <w:szCs w:val="22"/>
              </w:rPr>
              <w:t xml:space="preserve"> </w:t>
            </w:r>
            <w:r w:rsidR="00984F30" w:rsidRPr="00485A29">
              <w:rPr>
                <w:b/>
                <w:sz w:val="22"/>
                <w:szCs w:val="22"/>
              </w:rPr>
              <w:t>Evidence</w:t>
            </w:r>
          </w:p>
        </w:tc>
      </w:tr>
      <w:tr w:rsidR="00877E59" w:rsidRPr="001817B5" w14:paraId="21A0FD10" w14:textId="77777777" w:rsidTr="001817B5">
        <w:trPr>
          <w:trHeight w:val="1313"/>
        </w:trPr>
        <w:tc>
          <w:tcPr>
            <w:tcW w:w="2880" w:type="dxa"/>
          </w:tcPr>
          <w:p w14:paraId="21164DAE" w14:textId="10980CF4" w:rsidR="00877E59" w:rsidRPr="00485A29" w:rsidRDefault="00877E59" w:rsidP="00877E59">
            <w:pPr>
              <w:rPr>
                <w:color w:val="4472C4" w:themeColor="accent5"/>
                <w:sz w:val="22"/>
                <w:szCs w:val="22"/>
              </w:rPr>
            </w:pPr>
            <w:r w:rsidRPr="00485A29">
              <w:rPr>
                <w:sz w:val="22"/>
                <w:szCs w:val="22"/>
              </w:rPr>
              <w:t xml:space="preserve">LO1: </w:t>
            </w:r>
            <w:r w:rsidRPr="00485A29">
              <w:rPr>
                <w:color w:val="4472C4" w:themeColor="accent5"/>
                <w:sz w:val="22"/>
                <w:szCs w:val="22"/>
              </w:rPr>
              <w:t xml:space="preserve">Compare complex categories of social group memberships as they relate to our local and national contexts, democratic traditions, and contemporary struggles. </w:t>
            </w:r>
          </w:p>
          <w:p w14:paraId="6FAEDBC8" w14:textId="77777777" w:rsidR="00877E59" w:rsidRPr="00485A29" w:rsidRDefault="00877E59" w:rsidP="00877E59">
            <w:pPr>
              <w:rPr>
                <w:sz w:val="22"/>
                <w:szCs w:val="22"/>
              </w:rPr>
            </w:pPr>
          </w:p>
        </w:tc>
        <w:tc>
          <w:tcPr>
            <w:tcW w:w="2880" w:type="dxa"/>
            <w:tcBorders>
              <w:right w:val="single" w:sz="24" w:space="0" w:color="auto"/>
            </w:tcBorders>
          </w:tcPr>
          <w:p w14:paraId="2232841D" w14:textId="3F0A6AC5" w:rsidR="00877E59" w:rsidRPr="00485A29" w:rsidRDefault="00524541" w:rsidP="00933718">
            <w:pPr>
              <w:autoSpaceDE w:val="0"/>
              <w:autoSpaceDN w:val="0"/>
              <w:adjustRightInd w:val="0"/>
              <w:rPr>
                <w:sz w:val="22"/>
                <w:szCs w:val="22"/>
              </w:rPr>
            </w:pPr>
            <w:r w:rsidRPr="00485A29">
              <w:rPr>
                <w:sz w:val="22"/>
                <w:szCs w:val="22"/>
              </w:rPr>
              <w:t>A</w:t>
            </w:r>
            <w:r w:rsidR="003B4EA7" w:rsidRPr="00485A29">
              <w:rPr>
                <w:sz w:val="22"/>
                <w:szCs w:val="22"/>
              </w:rPr>
              <w:t>nalyzes</w:t>
            </w:r>
            <w:r w:rsidR="008377E9" w:rsidRPr="00485A29">
              <w:rPr>
                <w:sz w:val="22"/>
                <w:szCs w:val="22"/>
              </w:rPr>
              <w:t>/</w:t>
            </w:r>
            <w:r w:rsidR="003A4AB0" w:rsidRPr="00485A29">
              <w:rPr>
                <w:sz w:val="22"/>
                <w:szCs w:val="22"/>
              </w:rPr>
              <w:t>evaluates</w:t>
            </w:r>
            <w:r w:rsidR="003B4EA7" w:rsidRPr="00485A29">
              <w:rPr>
                <w:sz w:val="22"/>
                <w:szCs w:val="22"/>
              </w:rPr>
              <w:t xml:space="preserve"> </w:t>
            </w:r>
            <w:r w:rsidR="00933718" w:rsidRPr="00485A29">
              <w:rPr>
                <w:sz w:val="22"/>
                <w:szCs w:val="22"/>
              </w:rPr>
              <w:t>how diverse</w:t>
            </w:r>
            <w:r w:rsidR="002C7FE3" w:rsidRPr="00485A29">
              <w:rPr>
                <w:sz w:val="22"/>
                <w:szCs w:val="22"/>
              </w:rPr>
              <w:t xml:space="preserve"> categories of</w:t>
            </w:r>
            <w:r w:rsidR="00933718" w:rsidRPr="00485A29">
              <w:rPr>
                <w:sz w:val="22"/>
                <w:szCs w:val="22"/>
              </w:rPr>
              <w:t xml:space="preserve"> social groups affect the local/national context, democratic traditions, or contemporary struggles.</w:t>
            </w:r>
          </w:p>
        </w:tc>
        <w:tc>
          <w:tcPr>
            <w:tcW w:w="2880" w:type="dxa"/>
            <w:tcBorders>
              <w:left w:val="single" w:sz="24" w:space="0" w:color="auto"/>
              <w:right w:val="single" w:sz="24" w:space="0" w:color="auto"/>
            </w:tcBorders>
          </w:tcPr>
          <w:p w14:paraId="07031B24" w14:textId="086F8EF4" w:rsidR="00877E59" w:rsidRPr="00485A29" w:rsidRDefault="00933718" w:rsidP="00933718">
            <w:pPr>
              <w:autoSpaceDE w:val="0"/>
              <w:autoSpaceDN w:val="0"/>
              <w:adjustRightInd w:val="0"/>
              <w:rPr>
                <w:sz w:val="22"/>
                <w:szCs w:val="22"/>
              </w:rPr>
            </w:pPr>
            <w:r w:rsidRPr="00485A29">
              <w:rPr>
                <w:sz w:val="22"/>
                <w:szCs w:val="22"/>
              </w:rPr>
              <w:t xml:space="preserve">Compares </w:t>
            </w:r>
            <w:r w:rsidR="00877E59" w:rsidRPr="00485A29">
              <w:rPr>
                <w:sz w:val="22"/>
                <w:szCs w:val="22"/>
              </w:rPr>
              <w:t xml:space="preserve">diverse </w:t>
            </w:r>
            <w:r w:rsidR="00CD5A87" w:rsidRPr="00485A29">
              <w:rPr>
                <w:sz w:val="22"/>
                <w:szCs w:val="22"/>
              </w:rPr>
              <w:t xml:space="preserve">categories of social group membership </w:t>
            </w:r>
            <w:r w:rsidRPr="00485A29">
              <w:rPr>
                <w:sz w:val="22"/>
                <w:szCs w:val="22"/>
              </w:rPr>
              <w:t xml:space="preserve">and </w:t>
            </w:r>
            <w:r w:rsidR="00165F8D" w:rsidRPr="00485A29">
              <w:rPr>
                <w:sz w:val="22"/>
                <w:szCs w:val="22"/>
              </w:rPr>
              <w:t>how th</w:t>
            </w:r>
            <w:r w:rsidRPr="00485A29">
              <w:rPr>
                <w:sz w:val="22"/>
                <w:szCs w:val="22"/>
              </w:rPr>
              <w:t>ose groups</w:t>
            </w:r>
            <w:r w:rsidR="00165F8D" w:rsidRPr="00485A29">
              <w:rPr>
                <w:sz w:val="22"/>
                <w:szCs w:val="22"/>
              </w:rPr>
              <w:t xml:space="preserve"> </w:t>
            </w:r>
            <w:r w:rsidR="00877E59" w:rsidRPr="00485A29">
              <w:rPr>
                <w:sz w:val="22"/>
                <w:szCs w:val="22"/>
              </w:rPr>
              <w:t>are affected by the local/national context</w:t>
            </w:r>
            <w:r w:rsidR="00CD5A87" w:rsidRPr="00485A29">
              <w:rPr>
                <w:sz w:val="22"/>
                <w:szCs w:val="22"/>
              </w:rPr>
              <w:t>, democratic traditions, or contemporary struggles</w:t>
            </w:r>
            <w:r w:rsidR="00877E59" w:rsidRPr="00485A29">
              <w:rPr>
                <w:sz w:val="22"/>
                <w:szCs w:val="22"/>
              </w:rPr>
              <w:t>.</w:t>
            </w:r>
          </w:p>
        </w:tc>
        <w:tc>
          <w:tcPr>
            <w:tcW w:w="2880" w:type="dxa"/>
            <w:tcBorders>
              <w:left w:val="single" w:sz="24" w:space="0" w:color="auto"/>
            </w:tcBorders>
          </w:tcPr>
          <w:p w14:paraId="1D34D5F3" w14:textId="43A56685" w:rsidR="00877E59" w:rsidRPr="00485A29" w:rsidRDefault="00877E59" w:rsidP="00CD5A87">
            <w:pPr>
              <w:autoSpaceDE w:val="0"/>
              <w:autoSpaceDN w:val="0"/>
              <w:adjustRightInd w:val="0"/>
              <w:rPr>
                <w:sz w:val="22"/>
                <w:szCs w:val="22"/>
              </w:rPr>
            </w:pPr>
            <w:r w:rsidRPr="00485A29">
              <w:rPr>
                <w:sz w:val="22"/>
                <w:szCs w:val="22"/>
              </w:rPr>
              <w:t xml:space="preserve">Identifies </w:t>
            </w:r>
            <w:r w:rsidR="00CD5A87" w:rsidRPr="00485A29">
              <w:rPr>
                <w:sz w:val="22"/>
                <w:szCs w:val="22"/>
              </w:rPr>
              <w:t>categories of</w:t>
            </w:r>
            <w:r w:rsidRPr="00485A29">
              <w:rPr>
                <w:sz w:val="22"/>
                <w:szCs w:val="22"/>
              </w:rPr>
              <w:t xml:space="preserve"> social group</w:t>
            </w:r>
            <w:r w:rsidR="00CD5A87" w:rsidRPr="00485A29">
              <w:rPr>
                <w:sz w:val="22"/>
                <w:szCs w:val="22"/>
              </w:rPr>
              <w:t xml:space="preserve"> membership that are represented in </w:t>
            </w:r>
            <w:r w:rsidRPr="00485A29">
              <w:rPr>
                <w:sz w:val="22"/>
                <w:szCs w:val="22"/>
              </w:rPr>
              <w:t>the local/national context</w:t>
            </w:r>
            <w:r w:rsidR="00CD5A87" w:rsidRPr="00485A29">
              <w:rPr>
                <w:sz w:val="22"/>
                <w:szCs w:val="22"/>
              </w:rPr>
              <w:t>, democratic traditions, or contemporary struggles</w:t>
            </w:r>
            <w:r w:rsidRPr="00485A29">
              <w:rPr>
                <w:sz w:val="22"/>
                <w:szCs w:val="22"/>
              </w:rPr>
              <w:t>.</w:t>
            </w:r>
          </w:p>
        </w:tc>
        <w:tc>
          <w:tcPr>
            <w:tcW w:w="2880" w:type="dxa"/>
          </w:tcPr>
          <w:p w14:paraId="0F0082A7" w14:textId="4A8341D0" w:rsidR="00877E59" w:rsidRPr="00485A29" w:rsidRDefault="00877E59" w:rsidP="002C7FE3">
            <w:pPr>
              <w:autoSpaceDE w:val="0"/>
              <w:autoSpaceDN w:val="0"/>
              <w:adjustRightInd w:val="0"/>
              <w:rPr>
                <w:sz w:val="22"/>
                <w:szCs w:val="22"/>
              </w:rPr>
            </w:pPr>
            <w:r w:rsidRPr="00485A29">
              <w:rPr>
                <w:sz w:val="22"/>
                <w:szCs w:val="22"/>
              </w:rPr>
              <w:t xml:space="preserve">Shows little to no evidence of knowledge about </w:t>
            </w:r>
            <w:r w:rsidR="002C7FE3" w:rsidRPr="00485A29">
              <w:rPr>
                <w:sz w:val="22"/>
                <w:szCs w:val="22"/>
              </w:rPr>
              <w:t xml:space="preserve">categories of social group membership or their </w:t>
            </w:r>
            <w:r w:rsidRPr="00485A29">
              <w:rPr>
                <w:sz w:val="22"/>
                <w:szCs w:val="22"/>
              </w:rPr>
              <w:t>local, national, democratic, and/or contemporary struggles</w:t>
            </w:r>
            <w:r w:rsidR="003A4AB0" w:rsidRPr="00485A29">
              <w:rPr>
                <w:sz w:val="22"/>
                <w:szCs w:val="22"/>
              </w:rPr>
              <w:t>.</w:t>
            </w:r>
          </w:p>
        </w:tc>
      </w:tr>
      <w:tr w:rsidR="00877E59" w:rsidRPr="001817B5" w14:paraId="2B47E12A" w14:textId="77777777" w:rsidTr="001817B5">
        <w:trPr>
          <w:trHeight w:val="1187"/>
        </w:trPr>
        <w:tc>
          <w:tcPr>
            <w:tcW w:w="2880" w:type="dxa"/>
          </w:tcPr>
          <w:p w14:paraId="34C9C7EA" w14:textId="1D30C93B" w:rsidR="00877E59" w:rsidRPr="00485A29" w:rsidRDefault="00877E59" w:rsidP="002C7FE3">
            <w:pPr>
              <w:rPr>
                <w:sz w:val="22"/>
                <w:szCs w:val="22"/>
              </w:rPr>
            </w:pPr>
            <w:r w:rsidRPr="00485A29">
              <w:rPr>
                <w:sz w:val="22"/>
                <w:szCs w:val="22"/>
              </w:rPr>
              <w:t xml:space="preserve">LO2: </w:t>
            </w:r>
            <w:r w:rsidRPr="00485A29">
              <w:rPr>
                <w:color w:val="4472C4" w:themeColor="accent5"/>
                <w:sz w:val="22"/>
                <w:szCs w:val="22"/>
              </w:rPr>
              <w:t xml:space="preserve">Recognize the relationship between contemporary diversity-related issues and U.S. history, institutions, practices, and policies </w:t>
            </w:r>
          </w:p>
        </w:tc>
        <w:tc>
          <w:tcPr>
            <w:tcW w:w="2880" w:type="dxa"/>
            <w:tcBorders>
              <w:right w:val="single" w:sz="24" w:space="0" w:color="auto"/>
            </w:tcBorders>
          </w:tcPr>
          <w:p w14:paraId="3C073074" w14:textId="69ACAF48" w:rsidR="00877E59" w:rsidRPr="00485A29" w:rsidRDefault="008155AA" w:rsidP="008377E9">
            <w:pPr>
              <w:autoSpaceDE w:val="0"/>
              <w:autoSpaceDN w:val="0"/>
              <w:adjustRightInd w:val="0"/>
              <w:rPr>
                <w:sz w:val="22"/>
                <w:szCs w:val="22"/>
              </w:rPr>
            </w:pPr>
            <w:r w:rsidRPr="00485A29">
              <w:rPr>
                <w:sz w:val="22"/>
                <w:szCs w:val="22"/>
              </w:rPr>
              <w:t>Analyzes</w:t>
            </w:r>
            <w:r w:rsidR="008377E9" w:rsidRPr="00485A29">
              <w:rPr>
                <w:sz w:val="22"/>
                <w:szCs w:val="22"/>
              </w:rPr>
              <w:t>/</w:t>
            </w:r>
            <w:r w:rsidR="003A4AB0" w:rsidRPr="00485A29">
              <w:rPr>
                <w:sz w:val="22"/>
                <w:szCs w:val="22"/>
              </w:rPr>
              <w:t>evaluates</w:t>
            </w:r>
            <w:r w:rsidRPr="00485A29">
              <w:rPr>
                <w:sz w:val="22"/>
                <w:szCs w:val="22"/>
              </w:rPr>
              <w:t xml:space="preserve"> the </w:t>
            </w:r>
            <w:r w:rsidR="008377E9" w:rsidRPr="00485A29">
              <w:rPr>
                <w:sz w:val="22"/>
                <w:szCs w:val="22"/>
              </w:rPr>
              <w:t xml:space="preserve">impact of </w:t>
            </w:r>
            <w:r w:rsidRPr="00485A29">
              <w:rPr>
                <w:sz w:val="22"/>
                <w:szCs w:val="22"/>
              </w:rPr>
              <w:t xml:space="preserve">U.S. history, institutions, practices </w:t>
            </w:r>
            <w:r w:rsidR="008377E9" w:rsidRPr="00485A29">
              <w:rPr>
                <w:sz w:val="22"/>
                <w:szCs w:val="22"/>
              </w:rPr>
              <w:t xml:space="preserve">or </w:t>
            </w:r>
            <w:r w:rsidRPr="00485A29">
              <w:rPr>
                <w:sz w:val="22"/>
                <w:szCs w:val="22"/>
              </w:rPr>
              <w:t>policies</w:t>
            </w:r>
            <w:r w:rsidR="00397D91" w:rsidRPr="00485A29">
              <w:rPr>
                <w:sz w:val="22"/>
                <w:szCs w:val="22"/>
              </w:rPr>
              <w:t xml:space="preserve"> </w:t>
            </w:r>
            <w:r w:rsidR="008377E9" w:rsidRPr="00485A29">
              <w:rPr>
                <w:sz w:val="22"/>
                <w:szCs w:val="22"/>
              </w:rPr>
              <w:t>on diversity issues in the present.</w:t>
            </w:r>
          </w:p>
        </w:tc>
        <w:tc>
          <w:tcPr>
            <w:tcW w:w="2880" w:type="dxa"/>
            <w:tcBorders>
              <w:left w:val="single" w:sz="24" w:space="0" w:color="auto"/>
              <w:right w:val="single" w:sz="24" w:space="0" w:color="auto"/>
            </w:tcBorders>
          </w:tcPr>
          <w:p w14:paraId="7ADAA0D0" w14:textId="4F28B0C5" w:rsidR="00877E59" w:rsidRPr="00485A29" w:rsidRDefault="00DC0025" w:rsidP="008377E9">
            <w:pPr>
              <w:autoSpaceDE w:val="0"/>
              <w:autoSpaceDN w:val="0"/>
              <w:adjustRightInd w:val="0"/>
              <w:rPr>
                <w:sz w:val="22"/>
                <w:szCs w:val="22"/>
              </w:rPr>
            </w:pPr>
            <w:r w:rsidRPr="00485A29">
              <w:rPr>
                <w:sz w:val="22"/>
                <w:szCs w:val="22"/>
              </w:rPr>
              <w:t>Relates c</w:t>
            </w:r>
            <w:r w:rsidR="008155AA" w:rsidRPr="00485A29">
              <w:rPr>
                <w:sz w:val="22"/>
                <w:szCs w:val="22"/>
              </w:rPr>
              <w:t xml:space="preserve">ontemporary diversity issues </w:t>
            </w:r>
            <w:r w:rsidRPr="00485A29">
              <w:rPr>
                <w:sz w:val="22"/>
                <w:szCs w:val="22"/>
              </w:rPr>
              <w:t>to</w:t>
            </w:r>
            <w:r w:rsidR="008155AA" w:rsidRPr="00485A29">
              <w:rPr>
                <w:sz w:val="22"/>
                <w:szCs w:val="22"/>
              </w:rPr>
              <w:t xml:space="preserve"> U.S. history, institutions, practices, </w:t>
            </w:r>
            <w:r w:rsidR="008377E9" w:rsidRPr="00485A29">
              <w:rPr>
                <w:sz w:val="22"/>
                <w:szCs w:val="22"/>
              </w:rPr>
              <w:t xml:space="preserve">or </w:t>
            </w:r>
            <w:r w:rsidR="008155AA" w:rsidRPr="00485A29">
              <w:rPr>
                <w:sz w:val="22"/>
                <w:szCs w:val="22"/>
              </w:rPr>
              <w:t>policies</w:t>
            </w:r>
            <w:r w:rsidR="003A4AB0" w:rsidRPr="00485A29">
              <w:rPr>
                <w:sz w:val="22"/>
                <w:szCs w:val="22"/>
              </w:rPr>
              <w:t>.</w:t>
            </w:r>
          </w:p>
        </w:tc>
        <w:tc>
          <w:tcPr>
            <w:tcW w:w="2880" w:type="dxa"/>
            <w:tcBorders>
              <w:left w:val="single" w:sz="24" w:space="0" w:color="auto"/>
            </w:tcBorders>
          </w:tcPr>
          <w:p w14:paraId="30584120" w14:textId="00A6DAE8" w:rsidR="00877E59" w:rsidRPr="00485A29" w:rsidRDefault="008377E9" w:rsidP="008377E9">
            <w:pPr>
              <w:autoSpaceDE w:val="0"/>
              <w:autoSpaceDN w:val="0"/>
              <w:adjustRightInd w:val="0"/>
              <w:rPr>
                <w:sz w:val="22"/>
                <w:szCs w:val="22"/>
              </w:rPr>
            </w:pPr>
            <w:r w:rsidRPr="00485A29">
              <w:rPr>
                <w:sz w:val="22"/>
                <w:szCs w:val="22"/>
              </w:rPr>
              <w:t xml:space="preserve">Describes </w:t>
            </w:r>
            <w:r w:rsidR="0074062A" w:rsidRPr="00485A29">
              <w:rPr>
                <w:sz w:val="22"/>
                <w:szCs w:val="22"/>
              </w:rPr>
              <w:t xml:space="preserve">historical or </w:t>
            </w:r>
            <w:r w:rsidR="008155AA" w:rsidRPr="00485A29">
              <w:rPr>
                <w:sz w:val="22"/>
                <w:szCs w:val="22"/>
              </w:rPr>
              <w:t xml:space="preserve">contemporary </w:t>
            </w:r>
            <w:r w:rsidRPr="00485A29">
              <w:rPr>
                <w:sz w:val="22"/>
                <w:szCs w:val="22"/>
              </w:rPr>
              <w:t>diversity issues</w:t>
            </w:r>
            <w:r w:rsidR="0074062A" w:rsidRPr="00485A29">
              <w:rPr>
                <w:sz w:val="22"/>
                <w:szCs w:val="22"/>
              </w:rPr>
              <w:t>, but doesn’t relate them to each other.</w:t>
            </w:r>
          </w:p>
        </w:tc>
        <w:tc>
          <w:tcPr>
            <w:tcW w:w="2880" w:type="dxa"/>
          </w:tcPr>
          <w:p w14:paraId="44C74250" w14:textId="7A462C6E" w:rsidR="00877E59" w:rsidRPr="00485A29" w:rsidRDefault="00877E59" w:rsidP="00C95F11">
            <w:pPr>
              <w:autoSpaceDE w:val="0"/>
              <w:autoSpaceDN w:val="0"/>
              <w:adjustRightInd w:val="0"/>
              <w:rPr>
                <w:sz w:val="22"/>
                <w:szCs w:val="22"/>
              </w:rPr>
            </w:pPr>
            <w:r w:rsidRPr="00485A29">
              <w:rPr>
                <w:sz w:val="22"/>
                <w:szCs w:val="22"/>
              </w:rPr>
              <w:t xml:space="preserve">Shows little to no evidence of knowledge about </w:t>
            </w:r>
            <w:r w:rsidR="009960D2">
              <w:rPr>
                <w:sz w:val="22"/>
                <w:szCs w:val="22"/>
              </w:rPr>
              <w:t xml:space="preserve">the </w:t>
            </w:r>
            <w:r w:rsidRPr="00485A29">
              <w:rPr>
                <w:sz w:val="22"/>
                <w:szCs w:val="22"/>
              </w:rPr>
              <w:t>historical context of the diverse culture</w:t>
            </w:r>
            <w:r w:rsidR="00C95F11" w:rsidRPr="00485A29">
              <w:rPr>
                <w:sz w:val="22"/>
                <w:szCs w:val="22"/>
              </w:rPr>
              <w:t>s</w:t>
            </w:r>
            <w:r w:rsidRPr="00485A29">
              <w:rPr>
                <w:sz w:val="22"/>
                <w:szCs w:val="22"/>
              </w:rPr>
              <w:t xml:space="preserve"> under study.</w:t>
            </w:r>
          </w:p>
        </w:tc>
      </w:tr>
      <w:tr w:rsidR="00984F30" w:rsidRPr="001817B5" w14:paraId="43310AC3" w14:textId="77777777" w:rsidTr="001817B5">
        <w:trPr>
          <w:trHeight w:val="944"/>
        </w:trPr>
        <w:tc>
          <w:tcPr>
            <w:tcW w:w="2880" w:type="dxa"/>
          </w:tcPr>
          <w:p w14:paraId="2F7ADF85" w14:textId="4EE0FFFE" w:rsidR="00AC54A2" w:rsidRPr="00485A29" w:rsidRDefault="00AC54A2" w:rsidP="00984F30">
            <w:pPr>
              <w:rPr>
                <w:color w:val="4472C4" w:themeColor="accent5"/>
                <w:sz w:val="22"/>
                <w:szCs w:val="22"/>
              </w:rPr>
            </w:pPr>
            <w:r w:rsidRPr="00485A29">
              <w:rPr>
                <w:sz w:val="22"/>
                <w:szCs w:val="22"/>
              </w:rPr>
              <w:t xml:space="preserve">LO3: </w:t>
            </w:r>
            <w:r w:rsidR="004B3F84" w:rsidRPr="00485A29">
              <w:rPr>
                <w:color w:val="4472C4" w:themeColor="accent5"/>
                <w:sz w:val="22"/>
                <w:szCs w:val="22"/>
              </w:rPr>
              <w:t>Examine the roots of cultural values and prejudices and how they influence behavior</w:t>
            </w:r>
          </w:p>
          <w:p w14:paraId="17DDC444" w14:textId="77777777" w:rsidR="00984F30" w:rsidRPr="00485A29" w:rsidRDefault="00AC54A2" w:rsidP="00AC54A2">
            <w:pPr>
              <w:rPr>
                <w:sz w:val="22"/>
                <w:szCs w:val="22"/>
              </w:rPr>
            </w:pPr>
            <w:r w:rsidRPr="00485A29">
              <w:rPr>
                <w:sz w:val="22"/>
                <w:szCs w:val="22"/>
              </w:rPr>
              <w:t xml:space="preserve"> </w:t>
            </w:r>
          </w:p>
        </w:tc>
        <w:tc>
          <w:tcPr>
            <w:tcW w:w="2880" w:type="dxa"/>
            <w:tcBorders>
              <w:right w:val="single" w:sz="24" w:space="0" w:color="auto"/>
            </w:tcBorders>
          </w:tcPr>
          <w:p w14:paraId="31BF1B1A" w14:textId="001B90ED" w:rsidR="00984F30" w:rsidRPr="00485A29" w:rsidRDefault="0051180C" w:rsidP="006D2D98">
            <w:pPr>
              <w:autoSpaceDE w:val="0"/>
              <w:autoSpaceDN w:val="0"/>
              <w:adjustRightInd w:val="0"/>
              <w:rPr>
                <w:sz w:val="22"/>
                <w:szCs w:val="22"/>
              </w:rPr>
            </w:pPr>
            <w:r w:rsidRPr="00485A29">
              <w:rPr>
                <w:sz w:val="22"/>
                <w:szCs w:val="22"/>
              </w:rPr>
              <w:t>Analyzes/</w:t>
            </w:r>
            <w:r w:rsidR="003A4AB0" w:rsidRPr="00485A29">
              <w:rPr>
                <w:sz w:val="22"/>
                <w:szCs w:val="22"/>
              </w:rPr>
              <w:t>e</w:t>
            </w:r>
            <w:r w:rsidRPr="00485A29">
              <w:rPr>
                <w:sz w:val="22"/>
                <w:szCs w:val="22"/>
              </w:rPr>
              <w:t xml:space="preserve">valuates </w:t>
            </w:r>
            <w:r w:rsidR="00A35334" w:rsidRPr="00485A29">
              <w:rPr>
                <w:sz w:val="22"/>
                <w:szCs w:val="22"/>
              </w:rPr>
              <w:t xml:space="preserve">the </w:t>
            </w:r>
            <w:r w:rsidR="006D2D98" w:rsidRPr="00485A29">
              <w:rPr>
                <w:sz w:val="22"/>
                <w:szCs w:val="22"/>
              </w:rPr>
              <w:t xml:space="preserve">implications of culture for </w:t>
            </w:r>
            <w:r w:rsidR="00027818" w:rsidRPr="00485A29">
              <w:rPr>
                <w:sz w:val="22"/>
                <w:szCs w:val="22"/>
              </w:rPr>
              <w:t xml:space="preserve">the </w:t>
            </w:r>
            <w:r w:rsidR="00A35334" w:rsidRPr="00485A29">
              <w:rPr>
                <w:sz w:val="22"/>
                <w:szCs w:val="22"/>
              </w:rPr>
              <w:t xml:space="preserve">treatment of </w:t>
            </w:r>
            <w:r w:rsidR="008377E9" w:rsidRPr="00485A29">
              <w:rPr>
                <w:sz w:val="22"/>
                <w:szCs w:val="22"/>
              </w:rPr>
              <w:t xml:space="preserve">various </w:t>
            </w:r>
            <w:r w:rsidRPr="00485A29">
              <w:rPr>
                <w:sz w:val="22"/>
                <w:szCs w:val="22"/>
              </w:rPr>
              <w:t xml:space="preserve">social groups. </w:t>
            </w:r>
            <w:r w:rsidR="00A35334" w:rsidRPr="00485A29">
              <w:rPr>
                <w:sz w:val="22"/>
                <w:szCs w:val="22"/>
              </w:rPr>
              <w:t xml:space="preserve"> </w:t>
            </w:r>
          </w:p>
        </w:tc>
        <w:tc>
          <w:tcPr>
            <w:tcW w:w="2880" w:type="dxa"/>
            <w:tcBorders>
              <w:left w:val="single" w:sz="24" w:space="0" w:color="auto"/>
              <w:right w:val="single" w:sz="24" w:space="0" w:color="auto"/>
            </w:tcBorders>
          </w:tcPr>
          <w:p w14:paraId="36C4A0BA" w14:textId="5530B9B9" w:rsidR="00984F30" w:rsidRPr="00485A29" w:rsidRDefault="00DC0025" w:rsidP="006D2D98">
            <w:pPr>
              <w:rPr>
                <w:sz w:val="22"/>
                <w:szCs w:val="22"/>
              </w:rPr>
            </w:pPr>
            <w:r w:rsidRPr="00485A29">
              <w:rPr>
                <w:sz w:val="22"/>
                <w:szCs w:val="22"/>
              </w:rPr>
              <w:t>Relates</w:t>
            </w:r>
            <w:r w:rsidR="008155AA" w:rsidRPr="00485A29">
              <w:rPr>
                <w:sz w:val="22"/>
                <w:szCs w:val="22"/>
              </w:rPr>
              <w:t xml:space="preserve"> the roots of cultural values and prejudices </w:t>
            </w:r>
            <w:r w:rsidRPr="00485A29">
              <w:rPr>
                <w:sz w:val="22"/>
                <w:szCs w:val="22"/>
              </w:rPr>
              <w:t>to</w:t>
            </w:r>
            <w:r w:rsidR="008155AA" w:rsidRPr="00485A29">
              <w:rPr>
                <w:sz w:val="22"/>
                <w:szCs w:val="22"/>
              </w:rPr>
              <w:t xml:space="preserve"> </w:t>
            </w:r>
            <w:r w:rsidR="006D2D98" w:rsidRPr="00485A29">
              <w:rPr>
                <w:sz w:val="22"/>
                <w:szCs w:val="22"/>
              </w:rPr>
              <w:t>the behavior of</w:t>
            </w:r>
            <w:r w:rsidR="007B6EA6" w:rsidRPr="00485A29">
              <w:rPr>
                <w:sz w:val="22"/>
                <w:szCs w:val="22"/>
              </w:rPr>
              <w:t xml:space="preserve"> </w:t>
            </w:r>
            <w:r w:rsidR="0051180C" w:rsidRPr="00485A29">
              <w:rPr>
                <w:sz w:val="22"/>
                <w:szCs w:val="22"/>
              </w:rPr>
              <w:t>social groups</w:t>
            </w:r>
            <w:r w:rsidR="00A35334" w:rsidRPr="00485A29">
              <w:rPr>
                <w:sz w:val="22"/>
                <w:szCs w:val="22"/>
              </w:rPr>
              <w:t xml:space="preserve"> and institutions</w:t>
            </w:r>
            <w:r w:rsidR="0051180C" w:rsidRPr="00485A29">
              <w:rPr>
                <w:sz w:val="22"/>
                <w:szCs w:val="22"/>
              </w:rPr>
              <w:t xml:space="preserve">. </w:t>
            </w:r>
          </w:p>
        </w:tc>
        <w:tc>
          <w:tcPr>
            <w:tcW w:w="2880" w:type="dxa"/>
            <w:tcBorders>
              <w:left w:val="single" w:sz="24" w:space="0" w:color="auto"/>
            </w:tcBorders>
          </w:tcPr>
          <w:p w14:paraId="0F525DA6" w14:textId="4951E44B" w:rsidR="00984F30" w:rsidRPr="00485A29" w:rsidRDefault="00984F30" w:rsidP="00A35334">
            <w:pPr>
              <w:rPr>
                <w:sz w:val="22"/>
                <w:szCs w:val="22"/>
              </w:rPr>
            </w:pPr>
            <w:r w:rsidRPr="00485A29">
              <w:rPr>
                <w:sz w:val="22"/>
                <w:szCs w:val="22"/>
              </w:rPr>
              <w:t xml:space="preserve">Identifies </w:t>
            </w:r>
            <w:r w:rsidR="008155AA" w:rsidRPr="00485A29">
              <w:rPr>
                <w:sz w:val="22"/>
                <w:szCs w:val="22"/>
              </w:rPr>
              <w:t>the roots of cultural values and prejudices</w:t>
            </w:r>
            <w:r w:rsidR="003A4AB0" w:rsidRPr="00485A29">
              <w:rPr>
                <w:sz w:val="22"/>
                <w:szCs w:val="22"/>
              </w:rPr>
              <w:t>.</w:t>
            </w:r>
          </w:p>
        </w:tc>
        <w:tc>
          <w:tcPr>
            <w:tcW w:w="2880" w:type="dxa"/>
          </w:tcPr>
          <w:p w14:paraId="65DF50F1" w14:textId="70A70F22" w:rsidR="00984F30" w:rsidRPr="00485A29" w:rsidRDefault="00984F30" w:rsidP="0082004F">
            <w:pPr>
              <w:autoSpaceDE w:val="0"/>
              <w:autoSpaceDN w:val="0"/>
              <w:adjustRightInd w:val="0"/>
              <w:rPr>
                <w:sz w:val="22"/>
                <w:szCs w:val="22"/>
              </w:rPr>
            </w:pPr>
            <w:r w:rsidRPr="00485A29">
              <w:rPr>
                <w:sz w:val="22"/>
                <w:szCs w:val="22"/>
              </w:rPr>
              <w:t xml:space="preserve">Shows little to no evidence of </w:t>
            </w:r>
            <w:r w:rsidR="00235B8F" w:rsidRPr="00485A29">
              <w:rPr>
                <w:sz w:val="22"/>
                <w:szCs w:val="22"/>
              </w:rPr>
              <w:t xml:space="preserve">knowledge about the diverse cultural </w:t>
            </w:r>
            <w:r w:rsidR="0082004F" w:rsidRPr="00485A29">
              <w:rPr>
                <w:sz w:val="22"/>
                <w:szCs w:val="22"/>
              </w:rPr>
              <w:t xml:space="preserve">values and prejudices </w:t>
            </w:r>
            <w:r w:rsidR="00235B8F" w:rsidRPr="00485A29">
              <w:rPr>
                <w:sz w:val="22"/>
                <w:szCs w:val="22"/>
              </w:rPr>
              <w:t>under study</w:t>
            </w:r>
            <w:r w:rsidRPr="00485A29">
              <w:rPr>
                <w:sz w:val="22"/>
                <w:szCs w:val="22"/>
              </w:rPr>
              <w:t>.</w:t>
            </w:r>
          </w:p>
        </w:tc>
      </w:tr>
      <w:tr w:rsidR="00877E59" w:rsidRPr="001817B5" w14:paraId="5B95DE03" w14:textId="77777777" w:rsidTr="001817B5">
        <w:trPr>
          <w:trHeight w:val="1241"/>
        </w:trPr>
        <w:tc>
          <w:tcPr>
            <w:tcW w:w="2880" w:type="dxa"/>
          </w:tcPr>
          <w:p w14:paraId="23C4CB79" w14:textId="385FFD87" w:rsidR="004B3F84" w:rsidRPr="00485A29" w:rsidRDefault="004B3F84" w:rsidP="00877E59">
            <w:pPr>
              <w:rPr>
                <w:color w:val="4472C4" w:themeColor="accent5"/>
                <w:sz w:val="22"/>
                <w:szCs w:val="22"/>
              </w:rPr>
            </w:pPr>
            <w:r w:rsidRPr="00485A29">
              <w:rPr>
                <w:sz w:val="22"/>
                <w:szCs w:val="22"/>
              </w:rPr>
              <w:t xml:space="preserve">LO4: </w:t>
            </w:r>
            <w:r w:rsidRPr="00485A29">
              <w:rPr>
                <w:color w:val="4472C4" w:themeColor="accent5"/>
                <w:sz w:val="22"/>
                <w:szCs w:val="22"/>
              </w:rPr>
              <w:t>Identify the ethical and moral issues present in complex domestic</w:t>
            </w:r>
            <w:r w:rsidR="00BF4825" w:rsidRPr="00485A29">
              <w:rPr>
                <w:color w:val="4472C4" w:themeColor="accent5"/>
                <w:sz w:val="22"/>
                <w:szCs w:val="22"/>
              </w:rPr>
              <w:t xml:space="preserve"> (</w:t>
            </w:r>
            <w:r w:rsidR="00485A29" w:rsidRPr="00485A29">
              <w:rPr>
                <w:color w:val="4472C4" w:themeColor="accent5"/>
                <w:sz w:val="22"/>
                <w:szCs w:val="22"/>
              </w:rPr>
              <w:t>U.S.</w:t>
            </w:r>
            <w:r w:rsidR="00BF4825" w:rsidRPr="00485A29">
              <w:rPr>
                <w:color w:val="4472C4" w:themeColor="accent5"/>
                <w:sz w:val="22"/>
                <w:szCs w:val="22"/>
              </w:rPr>
              <w:t>)</w:t>
            </w:r>
            <w:r w:rsidRPr="00485A29">
              <w:rPr>
                <w:color w:val="4472C4" w:themeColor="accent5"/>
                <w:sz w:val="22"/>
                <w:szCs w:val="22"/>
              </w:rPr>
              <w:t xml:space="preserve"> situations and articulate informed responses to ambiguity and disagreement</w:t>
            </w:r>
          </w:p>
          <w:p w14:paraId="4FBE99AD" w14:textId="77777777" w:rsidR="00877E59" w:rsidRPr="00485A29" w:rsidRDefault="00877E59" w:rsidP="00877E59">
            <w:pPr>
              <w:rPr>
                <w:sz w:val="22"/>
                <w:szCs w:val="22"/>
              </w:rPr>
            </w:pPr>
          </w:p>
        </w:tc>
        <w:tc>
          <w:tcPr>
            <w:tcW w:w="2880" w:type="dxa"/>
            <w:tcBorders>
              <w:right w:val="single" w:sz="24" w:space="0" w:color="auto"/>
            </w:tcBorders>
          </w:tcPr>
          <w:p w14:paraId="3B37C7F6" w14:textId="0295158D" w:rsidR="00877E59" w:rsidRPr="00485A29" w:rsidRDefault="00F6658F" w:rsidP="002950F4">
            <w:pPr>
              <w:rPr>
                <w:sz w:val="22"/>
                <w:szCs w:val="22"/>
              </w:rPr>
            </w:pPr>
            <w:r w:rsidRPr="00485A29">
              <w:rPr>
                <w:sz w:val="22"/>
                <w:szCs w:val="22"/>
              </w:rPr>
              <w:t xml:space="preserve">Analyzes/evaluates </w:t>
            </w:r>
            <w:r w:rsidR="00923DB0" w:rsidRPr="00485A29">
              <w:rPr>
                <w:sz w:val="22"/>
                <w:szCs w:val="22"/>
              </w:rPr>
              <w:t xml:space="preserve">evidence to support </w:t>
            </w:r>
            <w:r w:rsidR="002950F4" w:rsidRPr="00485A29">
              <w:rPr>
                <w:sz w:val="22"/>
                <w:szCs w:val="22"/>
              </w:rPr>
              <w:t>an informed response to the application of eth</w:t>
            </w:r>
            <w:r w:rsidR="00877E59" w:rsidRPr="00485A29">
              <w:rPr>
                <w:sz w:val="22"/>
                <w:szCs w:val="22"/>
              </w:rPr>
              <w:t xml:space="preserve">ical </w:t>
            </w:r>
            <w:r w:rsidR="003A4AB0" w:rsidRPr="00485A29">
              <w:rPr>
                <w:sz w:val="22"/>
                <w:szCs w:val="22"/>
              </w:rPr>
              <w:t xml:space="preserve">and/or moral </w:t>
            </w:r>
            <w:r w:rsidR="00877E59" w:rsidRPr="00485A29">
              <w:rPr>
                <w:sz w:val="22"/>
                <w:szCs w:val="22"/>
              </w:rPr>
              <w:t xml:space="preserve">perspectives/concepts to </w:t>
            </w:r>
            <w:r w:rsidR="00547679" w:rsidRPr="00485A29">
              <w:rPr>
                <w:sz w:val="22"/>
                <w:szCs w:val="22"/>
              </w:rPr>
              <w:t xml:space="preserve">equity </w:t>
            </w:r>
            <w:r w:rsidR="00877E59" w:rsidRPr="00485A29">
              <w:rPr>
                <w:sz w:val="22"/>
                <w:szCs w:val="22"/>
              </w:rPr>
              <w:t>issues</w:t>
            </w:r>
            <w:r w:rsidR="00547679" w:rsidRPr="00485A29">
              <w:rPr>
                <w:sz w:val="22"/>
                <w:szCs w:val="22"/>
              </w:rPr>
              <w:t xml:space="preserve">. </w:t>
            </w:r>
            <w:r w:rsidR="00877E59" w:rsidRPr="00485A29">
              <w:rPr>
                <w:sz w:val="22"/>
                <w:szCs w:val="22"/>
              </w:rPr>
              <w:t xml:space="preserve"> </w:t>
            </w:r>
          </w:p>
        </w:tc>
        <w:tc>
          <w:tcPr>
            <w:tcW w:w="2880" w:type="dxa"/>
            <w:tcBorders>
              <w:left w:val="single" w:sz="24" w:space="0" w:color="auto"/>
              <w:right w:val="single" w:sz="24" w:space="0" w:color="auto"/>
            </w:tcBorders>
          </w:tcPr>
          <w:p w14:paraId="3929E421" w14:textId="3D8C704F" w:rsidR="006B7A8B" w:rsidRPr="00485A29" w:rsidRDefault="00DC0025" w:rsidP="002950F4">
            <w:pPr>
              <w:rPr>
                <w:sz w:val="22"/>
                <w:szCs w:val="22"/>
              </w:rPr>
            </w:pPr>
            <w:r w:rsidRPr="00485A29">
              <w:rPr>
                <w:sz w:val="22"/>
                <w:szCs w:val="22"/>
              </w:rPr>
              <w:t>Relates</w:t>
            </w:r>
            <w:r w:rsidR="00877E59" w:rsidRPr="00485A29">
              <w:rPr>
                <w:sz w:val="22"/>
                <w:szCs w:val="22"/>
              </w:rPr>
              <w:t xml:space="preserve"> ethical </w:t>
            </w:r>
            <w:r w:rsidR="003A4AB0" w:rsidRPr="00485A29">
              <w:rPr>
                <w:sz w:val="22"/>
                <w:szCs w:val="22"/>
              </w:rPr>
              <w:t xml:space="preserve">and/or moral </w:t>
            </w:r>
            <w:r w:rsidR="00877E59" w:rsidRPr="00485A29">
              <w:rPr>
                <w:sz w:val="22"/>
                <w:szCs w:val="22"/>
              </w:rPr>
              <w:t xml:space="preserve">perspectives/concepts to </w:t>
            </w:r>
            <w:r w:rsidR="00547679" w:rsidRPr="00485A29">
              <w:rPr>
                <w:sz w:val="22"/>
                <w:szCs w:val="22"/>
              </w:rPr>
              <w:t xml:space="preserve">equity </w:t>
            </w:r>
            <w:r w:rsidR="003A4AB0" w:rsidRPr="00485A29">
              <w:rPr>
                <w:sz w:val="22"/>
                <w:szCs w:val="22"/>
              </w:rPr>
              <w:t>issues</w:t>
            </w:r>
            <w:r w:rsidR="00877E59" w:rsidRPr="00485A29">
              <w:rPr>
                <w:sz w:val="22"/>
                <w:szCs w:val="22"/>
              </w:rPr>
              <w:t>.</w:t>
            </w:r>
          </w:p>
        </w:tc>
        <w:tc>
          <w:tcPr>
            <w:tcW w:w="2880" w:type="dxa"/>
            <w:tcBorders>
              <w:left w:val="single" w:sz="24" w:space="0" w:color="auto"/>
            </w:tcBorders>
          </w:tcPr>
          <w:p w14:paraId="158750AE" w14:textId="183AB8F8" w:rsidR="006B7A8B" w:rsidRPr="00485A29" w:rsidRDefault="003A4AB0" w:rsidP="009D6691">
            <w:pPr>
              <w:rPr>
                <w:sz w:val="22"/>
                <w:szCs w:val="22"/>
              </w:rPr>
            </w:pPr>
            <w:r w:rsidRPr="00485A29">
              <w:rPr>
                <w:sz w:val="22"/>
                <w:szCs w:val="22"/>
              </w:rPr>
              <w:t>Identifies</w:t>
            </w:r>
            <w:r w:rsidR="00877E59" w:rsidRPr="00485A29">
              <w:rPr>
                <w:sz w:val="22"/>
                <w:szCs w:val="22"/>
              </w:rPr>
              <w:t xml:space="preserve"> ethical</w:t>
            </w:r>
            <w:r w:rsidRPr="00485A29">
              <w:rPr>
                <w:sz w:val="22"/>
                <w:szCs w:val="22"/>
              </w:rPr>
              <w:t xml:space="preserve"> and/or moral</w:t>
            </w:r>
            <w:r w:rsidR="00877E59" w:rsidRPr="00485A29">
              <w:rPr>
                <w:sz w:val="22"/>
                <w:szCs w:val="22"/>
              </w:rPr>
              <w:t xml:space="preserve"> perspectives/</w:t>
            </w:r>
            <w:r w:rsidRPr="00485A29">
              <w:rPr>
                <w:sz w:val="22"/>
                <w:szCs w:val="22"/>
              </w:rPr>
              <w:t>c</w:t>
            </w:r>
            <w:r w:rsidR="00877E59" w:rsidRPr="00485A29">
              <w:rPr>
                <w:sz w:val="22"/>
                <w:szCs w:val="22"/>
              </w:rPr>
              <w:t>oncepts</w:t>
            </w:r>
            <w:r w:rsidR="00547679" w:rsidRPr="00485A29">
              <w:rPr>
                <w:sz w:val="22"/>
                <w:szCs w:val="22"/>
              </w:rPr>
              <w:t xml:space="preserve"> </w:t>
            </w:r>
            <w:r w:rsidR="009D6691" w:rsidRPr="00485A29">
              <w:rPr>
                <w:sz w:val="22"/>
                <w:szCs w:val="22"/>
              </w:rPr>
              <w:t xml:space="preserve">related to equity as </w:t>
            </w:r>
            <w:r w:rsidR="00547679" w:rsidRPr="00485A29">
              <w:rPr>
                <w:sz w:val="22"/>
                <w:szCs w:val="22"/>
              </w:rPr>
              <w:t>represented in a domestic</w:t>
            </w:r>
            <w:r w:rsidR="00BF4825" w:rsidRPr="00485A29">
              <w:rPr>
                <w:sz w:val="22"/>
                <w:szCs w:val="22"/>
              </w:rPr>
              <w:t xml:space="preserve"> (</w:t>
            </w:r>
            <w:r w:rsidR="00485A29" w:rsidRPr="00485A29">
              <w:rPr>
                <w:sz w:val="22"/>
                <w:szCs w:val="22"/>
              </w:rPr>
              <w:t>U.S.</w:t>
            </w:r>
            <w:r w:rsidR="00BF4825" w:rsidRPr="00485A29">
              <w:rPr>
                <w:sz w:val="22"/>
                <w:szCs w:val="22"/>
              </w:rPr>
              <w:t>)</w:t>
            </w:r>
            <w:r w:rsidR="00547679" w:rsidRPr="00485A29">
              <w:rPr>
                <w:sz w:val="22"/>
                <w:szCs w:val="22"/>
              </w:rPr>
              <w:t xml:space="preserve"> situation</w:t>
            </w:r>
            <w:r w:rsidRPr="00485A29">
              <w:rPr>
                <w:sz w:val="22"/>
                <w:szCs w:val="22"/>
              </w:rPr>
              <w:t xml:space="preserve">. </w:t>
            </w:r>
          </w:p>
        </w:tc>
        <w:tc>
          <w:tcPr>
            <w:tcW w:w="2880" w:type="dxa"/>
          </w:tcPr>
          <w:p w14:paraId="325AAC6F" w14:textId="5FC36B02" w:rsidR="006B7A8B" w:rsidRPr="00485A29" w:rsidRDefault="00877E59" w:rsidP="00B46AE1">
            <w:pPr>
              <w:rPr>
                <w:sz w:val="22"/>
                <w:szCs w:val="22"/>
              </w:rPr>
            </w:pPr>
            <w:r w:rsidRPr="00485A29">
              <w:rPr>
                <w:sz w:val="22"/>
                <w:szCs w:val="22"/>
              </w:rPr>
              <w:t>Shows little to no evidence of understanding how ethical and</w:t>
            </w:r>
            <w:r w:rsidR="003A4AB0" w:rsidRPr="00485A29">
              <w:rPr>
                <w:sz w:val="22"/>
                <w:szCs w:val="22"/>
              </w:rPr>
              <w:t>/or</w:t>
            </w:r>
            <w:r w:rsidRPr="00485A29">
              <w:rPr>
                <w:sz w:val="22"/>
                <w:szCs w:val="22"/>
              </w:rPr>
              <w:t xml:space="preserve"> moral issues relate to </w:t>
            </w:r>
            <w:r w:rsidR="00CA07FF" w:rsidRPr="00485A29">
              <w:rPr>
                <w:sz w:val="22"/>
                <w:szCs w:val="22"/>
              </w:rPr>
              <w:t>equity</w:t>
            </w:r>
            <w:r w:rsidR="00F6658F" w:rsidRPr="00485A29">
              <w:rPr>
                <w:sz w:val="22"/>
                <w:szCs w:val="22"/>
              </w:rPr>
              <w:t xml:space="preserve"> issues</w:t>
            </w:r>
            <w:r w:rsidR="006B7A8B" w:rsidRPr="00485A29">
              <w:rPr>
                <w:color w:val="00B050"/>
                <w:sz w:val="22"/>
                <w:szCs w:val="22"/>
              </w:rPr>
              <w:t>.</w:t>
            </w:r>
          </w:p>
        </w:tc>
      </w:tr>
      <w:tr w:rsidR="00676421" w:rsidRPr="001817B5" w14:paraId="2D3513B2" w14:textId="77777777" w:rsidTr="001817B5">
        <w:trPr>
          <w:trHeight w:val="1308"/>
        </w:trPr>
        <w:tc>
          <w:tcPr>
            <w:tcW w:w="2880" w:type="dxa"/>
          </w:tcPr>
          <w:p w14:paraId="46CC90C6" w14:textId="6367A5FE" w:rsidR="00676421" w:rsidRPr="00485A29" w:rsidRDefault="00676421" w:rsidP="00676421">
            <w:pPr>
              <w:rPr>
                <w:color w:val="4472C4" w:themeColor="accent5"/>
                <w:sz w:val="22"/>
                <w:szCs w:val="22"/>
              </w:rPr>
            </w:pPr>
            <w:r w:rsidRPr="00485A29">
              <w:rPr>
                <w:sz w:val="22"/>
                <w:szCs w:val="22"/>
              </w:rPr>
              <w:t xml:space="preserve">LO5: </w:t>
            </w:r>
            <w:r w:rsidRPr="00485A29">
              <w:rPr>
                <w:color w:val="4472C4" w:themeColor="accent5"/>
                <w:sz w:val="22"/>
                <w:szCs w:val="22"/>
              </w:rPr>
              <w:t xml:space="preserve">Demonstrate understanding of the key issues of the course by analyzing, proposing, or engaging in strategies that promote equity at the local or national level </w:t>
            </w:r>
          </w:p>
          <w:p w14:paraId="1A230C03" w14:textId="77777777" w:rsidR="00700752" w:rsidRPr="00485A29" w:rsidRDefault="00700752" w:rsidP="00676421">
            <w:pPr>
              <w:rPr>
                <w:sz w:val="22"/>
                <w:szCs w:val="22"/>
              </w:rPr>
            </w:pPr>
          </w:p>
        </w:tc>
        <w:tc>
          <w:tcPr>
            <w:tcW w:w="2880" w:type="dxa"/>
            <w:tcBorders>
              <w:right w:val="single" w:sz="24" w:space="0" w:color="auto"/>
            </w:tcBorders>
          </w:tcPr>
          <w:p w14:paraId="1F73C0B1" w14:textId="1CED19FF" w:rsidR="00676421" w:rsidRPr="00485A29" w:rsidRDefault="008377E9" w:rsidP="009D6691">
            <w:pPr>
              <w:rPr>
                <w:sz w:val="22"/>
                <w:szCs w:val="22"/>
              </w:rPr>
            </w:pPr>
            <w:r w:rsidRPr="00485A29">
              <w:rPr>
                <w:sz w:val="22"/>
                <w:szCs w:val="22"/>
              </w:rPr>
              <w:t>Analyzes/e</w:t>
            </w:r>
            <w:r w:rsidR="00676421" w:rsidRPr="00485A29">
              <w:rPr>
                <w:sz w:val="22"/>
                <w:szCs w:val="22"/>
              </w:rPr>
              <w:t xml:space="preserve">valuates the impact </w:t>
            </w:r>
            <w:r w:rsidR="009D6691" w:rsidRPr="00485A29">
              <w:rPr>
                <w:sz w:val="22"/>
                <w:szCs w:val="22"/>
              </w:rPr>
              <w:t>of equity strategies on affected groups in relation to a specific equity issue</w:t>
            </w:r>
            <w:r w:rsidR="00676421" w:rsidRPr="00485A29">
              <w:rPr>
                <w:sz w:val="22"/>
                <w:szCs w:val="22"/>
              </w:rPr>
              <w:t>.</w:t>
            </w:r>
          </w:p>
        </w:tc>
        <w:tc>
          <w:tcPr>
            <w:tcW w:w="2880" w:type="dxa"/>
            <w:tcBorders>
              <w:left w:val="single" w:sz="24" w:space="0" w:color="auto"/>
              <w:bottom w:val="single" w:sz="24" w:space="0" w:color="auto"/>
              <w:right w:val="single" w:sz="24" w:space="0" w:color="auto"/>
            </w:tcBorders>
          </w:tcPr>
          <w:p w14:paraId="36B3FF66" w14:textId="534952B3" w:rsidR="00676421" w:rsidRPr="00485A29" w:rsidRDefault="00A7556D" w:rsidP="003755FC">
            <w:pPr>
              <w:rPr>
                <w:sz w:val="22"/>
                <w:szCs w:val="22"/>
              </w:rPr>
            </w:pPr>
            <w:r w:rsidRPr="00485A29">
              <w:rPr>
                <w:sz w:val="22"/>
                <w:szCs w:val="22"/>
              </w:rPr>
              <w:t xml:space="preserve">Connects </w:t>
            </w:r>
            <w:r w:rsidR="009D6691" w:rsidRPr="00485A29">
              <w:rPr>
                <w:sz w:val="22"/>
                <w:szCs w:val="22"/>
              </w:rPr>
              <w:t xml:space="preserve">strategies for promoting equity to </w:t>
            </w:r>
            <w:r w:rsidRPr="00485A29">
              <w:rPr>
                <w:sz w:val="22"/>
                <w:szCs w:val="22"/>
              </w:rPr>
              <w:t>an understanding of the characteristics, power, or status of diverse groups.</w:t>
            </w:r>
          </w:p>
        </w:tc>
        <w:tc>
          <w:tcPr>
            <w:tcW w:w="2880" w:type="dxa"/>
            <w:tcBorders>
              <w:left w:val="single" w:sz="24" w:space="0" w:color="auto"/>
            </w:tcBorders>
          </w:tcPr>
          <w:p w14:paraId="3259AF44" w14:textId="3EF6888D" w:rsidR="00676421" w:rsidRPr="00485A29" w:rsidRDefault="00676421" w:rsidP="00B1399D">
            <w:pPr>
              <w:rPr>
                <w:sz w:val="22"/>
                <w:szCs w:val="22"/>
              </w:rPr>
            </w:pPr>
            <w:r w:rsidRPr="00485A29">
              <w:rPr>
                <w:sz w:val="22"/>
                <w:szCs w:val="22"/>
              </w:rPr>
              <w:t xml:space="preserve">Describes a specific equity issue, its </w:t>
            </w:r>
            <w:r w:rsidR="00B1399D" w:rsidRPr="00485A29">
              <w:rPr>
                <w:sz w:val="22"/>
                <w:szCs w:val="22"/>
              </w:rPr>
              <w:t>affected</w:t>
            </w:r>
            <w:r w:rsidRPr="00485A29">
              <w:rPr>
                <w:sz w:val="22"/>
                <w:szCs w:val="22"/>
              </w:rPr>
              <w:t xml:space="preserve"> groups, and contributing factors. </w:t>
            </w:r>
          </w:p>
        </w:tc>
        <w:tc>
          <w:tcPr>
            <w:tcW w:w="2880" w:type="dxa"/>
          </w:tcPr>
          <w:p w14:paraId="35A59AEC" w14:textId="12E155CD" w:rsidR="00676421" w:rsidRPr="00485A29" w:rsidRDefault="00676421" w:rsidP="00676421">
            <w:pPr>
              <w:rPr>
                <w:sz w:val="22"/>
                <w:szCs w:val="22"/>
              </w:rPr>
            </w:pPr>
            <w:r w:rsidRPr="00485A29">
              <w:rPr>
                <w:sz w:val="22"/>
                <w:szCs w:val="22"/>
              </w:rPr>
              <w:t>Does not clearly describe one or more specific equity issues.</w:t>
            </w:r>
          </w:p>
        </w:tc>
      </w:tr>
    </w:tbl>
    <w:p w14:paraId="684163D6" w14:textId="77777777" w:rsidR="009D67E0" w:rsidRPr="00485A29" w:rsidRDefault="0095792F" w:rsidP="009D67E0">
      <w:pPr>
        <w:rPr>
          <w:sz w:val="20"/>
          <w:szCs w:val="20"/>
        </w:rPr>
      </w:pPr>
      <w:r w:rsidRPr="00485A29">
        <w:rPr>
          <w:sz w:val="20"/>
          <w:szCs w:val="20"/>
        </w:rPr>
        <w:t xml:space="preserve">Source: Appropriated </w:t>
      </w:r>
      <w:r w:rsidR="00362D6A" w:rsidRPr="00485A29">
        <w:rPr>
          <w:sz w:val="20"/>
          <w:szCs w:val="20"/>
        </w:rPr>
        <w:t xml:space="preserve">and modified </w:t>
      </w:r>
      <w:r w:rsidRPr="00485A29">
        <w:rPr>
          <w:sz w:val="20"/>
          <w:szCs w:val="20"/>
        </w:rPr>
        <w:t>from the VALUE rubrics developed by the Association of American Colleges and Universities (AAC&amp;U).</w:t>
      </w:r>
    </w:p>
    <w:p w14:paraId="505A55F6" w14:textId="302EA3F2" w:rsidR="00AC519A" w:rsidRPr="00485A29" w:rsidRDefault="00AC519A" w:rsidP="009D67E0">
      <w:pPr>
        <w:rPr>
          <w:sz w:val="20"/>
          <w:szCs w:val="20"/>
        </w:rPr>
      </w:pPr>
      <w:bookmarkStart w:id="0" w:name="_Hlk1115612"/>
      <w:r w:rsidRPr="00485A29">
        <w:rPr>
          <w:sz w:val="20"/>
          <w:szCs w:val="20"/>
        </w:rPr>
        <w:t xml:space="preserve">Accepted </w:t>
      </w:r>
      <w:r w:rsidR="0075660D" w:rsidRPr="00485A29">
        <w:rPr>
          <w:sz w:val="20"/>
          <w:szCs w:val="20"/>
        </w:rPr>
        <w:t xml:space="preserve">by GEOC </w:t>
      </w:r>
      <w:r w:rsidRPr="00485A29">
        <w:rPr>
          <w:sz w:val="20"/>
          <w:szCs w:val="20"/>
        </w:rPr>
        <w:t>on 11/01/2018.</w:t>
      </w:r>
      <w:bookmarkEnd w:id="0"/>
      <w:r w:rsidR="006B08AA">
        <w:rPr>
          <w:sz w:val="20"/>
          <w:szCs w:val="20"/>
        </w:rPr>
        <w:t xml:space="preserve"> Revised: 04/09/2019.</w:t>
      </w:r>
      <w:bookmarkStart w:id="1" w:name="_GoBack"/>
      <w:bookmarkEnd w:id="1"/>
    </w:p>
    <w:sectPr w:rsidR="00AC519A" w:rsidRPr="00485A29" w:rsidSect="001542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2AE8" w14:textId="77777777" w:rsidR="0075660D" w:rsidRDefault="0075660D" w:rsidP="0075660D">
      <w:r>
        <w:separator/>
      </w:r>
    </w:p>
  </w:endnote>
  <w:endnote w:type="continuationSeparator" w:id="0">
    <w:p w14:paraId="13207B2D" w14:textId="77777777" w:rsidR="0075660D" w:rsidRDefault="0075660D" w:rsidP="0075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F611A" w14:textId="77777777" w:rsidR="0075660D" w:rsidRDefault="0075660D" w:rsidP="0075660D">
      <w:r>
        <w:separator/>
      </w:r>
    </w:p>
  </w:footnote>
  <w:footnote w:type="continuationSeparator" w:id="0">
    <w:p w14:paraId="5E11E27B" w14:textId="77777777" w:rsidR="0075660D" w:rsidRDefault="0075660D" w:rsidP="00756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247"/>
    <w:multiLevelType w:val="hybridMultilevel"/>
    <w:tmpl w:val="7898D510"/>
    <w:lvl w:ilvl="0" w:tplc="DF404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F2672"/>
    <w:multiLevelType w:val="hybridMultilevel"/>
    <w:tmpl w:val="2F82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739DB"/>
    <w:multiLevelType w:val="hybridMultilevel"/>
    <w:tmpl w:val="81AC1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F4"/>
    <w:rsid w:val="000070A2"/>
    <w:rsid w:val="00027818"/>
    <w:rsid w:val="00037942"/>
    <w:rsid w:val="00042D3E"/>
    <w:rsid w:val="0006759A"/>
    <w:rsid w:val="000A1A0B"/>
    <w:rsid w:val="000A4411"/>
    <w:rsid w:val="000D6E72"/>
    <w:rsid w:val="000E096D"/>
    <w:rsid w:val="000E737F"/>
    <w:rsid w:val="00104B22"/>
    <w:rsid w:val="00154212"/>
    <w:rsid w:val="00165F8D"/>
    <w:rsid w:val="001817B5"/>
    <w:rsid w:val="001D08AC"/>
    <w:rsid w:val="00211FB2"/>
    <w:rsid w:val="00235B8F"/>
    <w:rsid w:val="002407F1"/>
    <w:rsid w:val="00246A29"/>
    <w:rsid w:val="00260AB1"/>
    <w:rsid w:val="0029205D"/>
    <w:rsid w:val="002950F4"/>
    <w:rsid w:val="002C7FE3"/>
    <w:rsid w:val="00354F4B"/>
    <w:rsid w:val="00362D6A"/>
    <w:rsid w:val="003755FC"/>
    <w:rsid w:val="00397D91"/>
    <w:rsid w:val="003A4AB0"/>
    <w:rsid w:val="003B4EA7"/>
    <w:rsid w:val="003D6D57"/>
    <w:rsid w:val="003F70CF"/>
    <w:rsid w:val="00485A29"/>
    <w:rsid w:val="004A4579"/>
    <w:rsid w:val="004B3F84"/>
    <w:rsid w:val="004E0577"/>
    <w:rsid w:val="004E4D52"/>
    <w:rsid w:val="00503FC0"/>
    <w:rsid w:val="0051180C"/>
    <w:rsid w:val="00524541"/>
    <w:rsid w:val="00547679"/>
    <w:rsid w:val="00591A82"/>
    <w:rsid w:val="005C4232"/>
    <w:rsid w:val="005C7E21"/>
    <w:rsid w:val="00617ABD"/>
    <w:rsid w:val="0063206B"/>
    <w:rsid w:val="00676421"/>
    <w:rsid w:val="006A0788"/>
    <w:rsid w:val="006A133D"/>
    <w:rsid w:val="006B08AA"/>
    <w:rsid w:val="006B7A8B"/>
    <w:rsid w:val="006D2D98"/>
    <w:rsid w:val="00700752"/>
    <w:rsid w:val="00723605"/>
    <w:rsid w:val="0074062A"/>
    <w:rsid w:val="0075660D"/>
    <w:rsid w:val="007609C5"/>
    <w:rsid w:val="00764514"/>
    <w:rsid w:val="00771EF4"/>
    <w:rsid w:val="007A20E1"/>
    <w:rsid w:val="007B6EA6"/>
    <w:rsid w:val="007F0DF0"/>
    <w:rsid w:val="00801499"/>
    <w:rsid w:val="008155AA"/>
    <w:rsid w:val="0082004F"/>
    <w:rsid w:val="008377E9"/>
    <w:rsid w:val="008446F1"/>
    <w:rsid w:val="00847628"/>
    <w:rsid w:val="00877E59"/>
    <w:rsid w:val="00890A59"/>
    <w:rsid w:val="008E752E"/>
    <w:rsid w:val="00923DB0"/>
    <w:rsid w:val="00933718"/>
    <w:rsid w:val="0095792F"/>
    <w:rsid w:val="00984F30"/>
    <w:rsid w:val="009872C0"/>
    <w:rsid w:val="009960D2"/>
    <w:rsid w:val="009A3E84"/>
    <w:rsid w:val="009D6691"/>
    <w:rsid w:val="009D67E0"/>
    <w:rsid w:val="009F4FA3"/>
    <w:rsid w:val="00A35334"/>
    <w:rsid w:val="00A470A6"/>
    <w:rsid w:val="00A53110"/>
    <w:rsid w:val="00A61424"/>
    <w:rsid w:val="00A7556D"/>
    <w:rsid w:val="00AC519A"/>
    <w:rsid w:val="00AC54A2"/>
    <w:rsid w:val="00B1399D"/>
    <w:rsid w:val="00B22B84"/>
    <w:rsid w:val="00B263BB"/>
    <w:rsid w:val="00B3742C"/>
    <w:rsid w:val="00B46AE1"/>
    <w:rsid w:val="00B96D89"/>
    <w:rsid w:val="00BD5991"/>
    <w:rsid w:val="00BF4825"/>
    <w:rsid w:val="00C408AA"/>
    <w:rsid w:val="00C40A28"/>
    <w:rsid w:val="00C47EC8"/>
    <w:rsid w:val="00C85784"/>
    <w:rsid w:val="00C95F11"/>
    <w:rsid w:val="00C962A1"/>
    <w:rsid w:val="00CA07FF"/>
    <w:rsid w:val="00CA0ADA"/>
    <w:rsid w:val="00CD5A87"/>
    <w:rsid w:val="00CF02AA"/>
    <w:rsid w:val="00D26BB6"/>
    <w:rsid w:val="00D54927"/>
    <w:rsid w:val="00D96B92"/>
    <w:rsid w:val="00DC0025"/>
    <w:rsid w:val="00DF3D02"/>
    <w:rsid w:val="00DF7E4F"/>
    <w:rsid w:val="00E41583"/>
    <w:rsid w:val="00E46FBA"/>
    <w:rsid w:val="00E572CF"/>
    <w:rsid w:val="00E66849"/>
    <w:rsid w:val="00ED7AD9"/>
    <w:rsid w:val="00F025A8"/>
    <w:rsid w:val="00F6658F"/>
    <w:rsid w:val="00FE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BB0670"/>
  <w15:chartTrackingRefBased/>
  <w15:docId w15:val="{64A7A37F-DB7A-4B46-86C9-499BC52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EC8"/>
    <w:rPr>
      <w:color w:val="0563C1" w:themeColor="hyperlink"/>
      <w:u w:val="single"/>
    </w:rPr>
  </w:style>
  <w:style w:type="paragraph" w:styleId="ListParagraph">
    <w:name w:val="List Paragraph"/>
    <w:basedOn w:val="Normal"/>
    <w:uiPriority w:val="34"/>
    <w:qFormat/>
    <w:rsid w:val="00C47EC8"/>
    <w:pPr>
      <w:ind w:left="720"/>
      <w:contextualSpacing/>
    </w:pPr>
  </w:style>
  <w:style w:type="table" w:styleId="TableGrid">
    <w:name w:val="Table Grid"/>
    <w:basedOn w:val="TableNormal"/>
    <w:uiPriority w:val="39"/>
    <w:rsid w:val="009D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6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421"/>
    <w:rPr>
      <w:rFonts w:ascii="Segoe UI" w:hAnsi="Segoe UI" w:cs="Segoe UI"/>
      <w:sz w:val="18"/>
      <w:szCs w:val="18"/>
    </w:rPr>
  </w:style>
  <w:style w:type="character" w:styleId="CommentReference">
    <w:name w:val="annotation reference"/>
    <w:basedOn w:val="DefaultParagraphFont"/>
    <w:uiPriority w:val="99"/>
    <w:semiHidden/>
    <w:unhideWhenUsed/>
    <w:rsid w:val="00547679"/>
    <w:rPr>
      <w:sz w:val="16"/>
      <w:szCs w:val="16"/>
    </w:rPr>
  </w:style>
  <w:style w:type="paragraph" w:styleId="CommentText">
    <w:name w:val="annotation text"/>
    <w:basedOn w:val="Normal"/>
    <w:link w:val="CommentTextChar"/>
    <w:uiPriority w:val="99"/>
    <w:semiHidden/>
    <w:unhideWhenUsed/>
    <w:rsid w:val="00547679"/>
    <w:rPr>
      <w:sz w:val="20"/>
      <w:szCs w:val="20"/>
    </w:rPr>
  </w:style>
  <w:style w:type="character" w:customStyle="1" w:styleId="CommentTextChar">
    <w:name w:val="Comment Text Char"/>
    <w:basedOn w:val="DefaultParagraphFont"/>
    <w:link w:val="CommentText"/>
    <w:uiPriority w:val="99"/>
    <w:semiHidden/>
    <w:rsid w:val="00547679"/>
    <w:rPr>
      <w:sz w:val="20"/>
      <w:szCs w:val="20"/>
    </w:rPr>
  </w:style>
  <w:style w:type="paragraph" w:styleId="CommentSubject">
    <w:name w:val="annotation subject"/>
    <w:basedOn w:val="CommentText"/>
    <w:next w:val="CommentText"/>
    <w:link w:val="CommentSubjectChar"/>
    <w:uiPriority w:val="99"/>
    <w:semiHidden/>
    <w:unhideWhenUsed/>
    <w:rsid w:val="00547679"/>
    <w:rPr>
      <w:b/>
      <w:bCs/>
    </w:rPr>
  </w:style>
  <w:style w:type="character" w:customStyle="1" w:styleId="CommentSubjectChar">
    <w:name w:val="Comment Subject Char"/>
    <w:basedOn w:val="CommentTextChar"/>
    <w:link w:val="CommentSubject"/>
    <w:uiPriority w:val="99"/>
    <w:semiHidden/>
    <w:rsid w:val="00547679"/>
    <w:rPr>
      <w:b/>
      <w:bCs/>
      <w:sz w:val="20"/>
      <w:szCs w:val="20"/>
    </w:rPr>
  </w:style>
  <w:style w:type="character" w:styleId="Emphasis">
    <w:name w:val="Emphasis"/>
    <w:basedOn w:val="DefaultParagraphFont"/>
    <w:uiPriority w:val="20"/>
    <w:qFormat/>
    <w:rsid w:val="003D6D57"/>
    <w:rPr>
      <w:i/>
      <w:iCs/>
    </w:rPr>
  </w:style>
  <w:style w:type="paragraph" w:styleId="Header">
    <w:name w:val="header"/>
    <w:basedOn w:val="Normal"/>
    <w:link w:val="HeaderChar"/>
    <w:uiPriority w:val="99"/>
    <w:unhideWhenUsed/>
    <w:rsid w:val="0075660D"/>
    <w:pPr>
      <w:tabs>
        <w:tab w:val="center" w:pos="4680"/>
        <w:tab w:val="right" w:pos="9360"/>
      </w:tabs>
    </w:pPr>
  </w:style>
  <w:style w:type="character" w:customStyle="1" w:styleId="HeaderChar">
    <w:name w:val="Header Char"/>
    <w:basedOn w:val="DefaultParagraphFont"/>
    <w:link w:val="Header"/>
    <w:uiPriority w:val="99"/>
    <w:rsid w:val="0075660D"/>
  </w:style>
  <w:style w:type="paragraph" w:styleId="Footer">
    <w:name w:val="footer"/>
    <w:basedOn w:val="Normal"/>
    <w:link w:val="FooterChar"/>
    <w:uiPriority w:val="99"/>
    <w:unhideWhenUsed/>
    <w:rsid w:val="0075660D"/>
    <w:pPr>
      <w:tabs>
        <w:tab w:val="center" w:pos="4680"/>
        <w:tab w:val="right" w:pos="9360"/>
      </w:tabs>
    </w:pPr>
  </w:style>
  <w:style w:type="character" w:customStyle="1" w:styleId="FooterChar">
    <w:name w:val="Footer Char"/>
    <w:basedOn w:val="DefaultParagraphFont"/>
    <w:link w:val="Footer"/>
    <w:uiPriority w:val="99"/>
    <w:rsid w:val="0075660D"/>
  </w:style>
  <w:style w:type="paragraph" w:styleId="Revision">
    <w:name w:val="Revision"/>
    <w:hidden/>
    <w:uiPriority w:val="99"/>
    <w:semiHidden/>
    <w:rsid w:val="006D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lletins.wayne.edu/undergraduate/general-information/general-education/group-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ulletins.wayne.edu/undergraduate/general-information/general-education/group-require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CC34-0A69-4CFE-BFDD-2F6D13BF5942}">
  <ds:schemaRefs>
    <ds:schemaRef ds:uri="http://schemas.microsoft.com/sharepoint/v3/contenttype/forms"/>
  </ds:schemaRefs>
</ds:datastoreItem>
</file>

<file path=customXml/itemProps2.xml><?xml version="1.0" encoding="utf-8"?>
<ds:datastoreItem xmlns:ds="http://schemas.openxmlformats.org/officeDocument/2006/customXml" ds:itemID="{0A29061E-0620-41DB-81A6-73DCA28557F4}"/>
</file>

<file path=customXml/itemProps3.xml><?xml version="1.0" encoding="utf-8"?>
<ds:datastoreItem xmlns:ds="http://schemas.openxmlformats.org/officeDocument/2006/customXml" ds:itemID="{E93922D8-B4AA-4449-B7A5-27FB9E8A521A}">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31f7bff7-b984-4a54-b97a-8e3362afc386"/>
  </ds:schemaRefs>
</ds:datastoreItem>
</file>

<file path=customXml/itemProps4.xml><?xml version="1.0" encoding="utf-8"?>
<ds:datastoreItem xmlns:ds="http://schemas.openxmlformats.org/officeDocument/2006/customXml" ds:itemID="{0BDA042B-709C-472A-9449-91F034B2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Wareham</dc:creator>
  <cp:keywords/>
  <dc:description/>
  <cp:lastModifiedBy>Jennifer Wareham</cp:lastModifiedBy>
  <cp:revision>2</cp:revision>
  <cp:lastPrinted>2018-11-12T13:42:00Z</cp:lastPrinted>
  <dcterms:created xsi:type="dcterms:W3CDTF">2019-04-09T16:24:00Z</dcterms:created>
  <dcterms:modified xsi:type="dcterms:W3CDTF">2019-04-09T16:24:00Z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ies>
</file>