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E875C" w14:textId="351FC509" w:rsidR="00D51FA2" w:rsidRPr="00872B15" w:rsidRDefault="00D51FA2" w:rsidP="00DD4A17">
      <w:pPr>
        <w:ind w:left="810" w:hanging="810"/>
        <w:rPr>
          <w:b/>
        </w:rPr>
      </w:pPr>
      <w:r w:rsidRPr="00872B15">
        <w:rPr>
          <w:b/>
        </w:rPr>
        <w:t xml:space="preserve">To: </w:t>
      </w:r>
      <w:r w:rsidRPr="00872B15">
        <w:rPr>
          <w:b/>
        </w:rPr>
        <w:tab/>
      </w:r>
      <w:r w:rsidR="00DD4A17">
        <w:rPr>
          <w:b/>
        </w:rPr>
        <w:t xml:space="preserve">Provost </w:t>
      </w:r>
      <w:r w:rsidR="009C7523">
        <w:rPr>
          <w:b/>
        </w:rPr>
        <w:t>Mark Kornbluh</w:t>
      </w:r>
    </w:p>
    <w:p w14:paraId="71BB8533" w14:textId="6645683A" w:rsidR="00D51FA2" w:rsidRPr="00872B15" w:rsidRDefault="00D51FA2" w:rsidP="00DD4A17">
      <w:pPr>
        <w:ind w:left="810" w:hanging="810"/>
        <w:rPr>
          <w:b/>
        </w:rPr>
      </w:pPr>
      <w:r w:rsidRPr="00872B15">
        <w:rPr>
          <w:b/>
        </w:rPr>
        <w:t xml:space="preserve">From: </w:t>
      </w:r>
      <w:r w:rsidR="00DD4A17">
        <w:rPr>
          <w:b/>
        </w:rPr>
        <w:tab/>
      </w:r>
      <w:r w:rsidR="00170FD0">
        <w:rPr>
          <w:b/>
        </w:rPr>
        <w:t xml:space="preserve">Dr. </w:t>
      </w:r>
      <w:r w:rsidR="00DD4A17">
        <w:rPr>
          <w:b/>
        </w:rPr>
        <w:t>Cathy Barrette, WSU Director of Assessment</w:t>
      </w:r>
    </w:p>
    <w:p w14:paraId="41F1D8E2" w14:textId="474750C1" w:rsidR="00D51FA2" w:rsidRDefault="00D51FA2" w:rsidP="00DD4A17">
      <w:pPr>
        <w:ind w:left="810" w:hanging="810"/>
        <w:rPr>
          <w:b/>
        </w:rPr>
      </w:pPr>
      <w:r w:rsidRPr="00872B15">
        <w:rPr>
          <w:b/>
        </w:rPr>
        <w:t>Re:</w:t>
      </w:r>
      <w:r w:rsidRPr="00872B15">
        <w:rPr>
          <w:b/>
        </w:rPr>
        <w:tab/>
        <w:t>AY20</w:t>
      </w:r>
      <w:r w:rsidR="009C7523">
        <w:rPr>
          <w:b/>
        </w:rPr>
        <w:t>20-2021</w:t>
      </w:r>
      <w:r w:rsidRPr="00872B15">
        <w:rPr>
          <w:b/>
        </w:rPr>
        <w:t xml:space="preserve"> Assessment </w:t>
      </w:r>
      <w:r w:rsidR="006D4C07">
        <w:rPr>
          <w:b/>
        </w:rPr>
        <w:t>Practices</w:t>
      </w:r>
      <w:r w:rsidRPr="00872B15">
        <w:rPr>
          <w:b/>
        </w:rPr>
        <w:t xml:space="preserve"> </w:t>
      </w:r>
      <w:r w:rsidR="00DD4A17">
        <w:rPr>
          <w:b/>
        </w:rPr>
        <w:t>Review Results</w:t>
      </w:r>
    </w:p>
    <w:p w14:paraId="7A93091F" w14:textId="04A4E1B7" w:rsidR="00D20EA2" w:rsidRPr="00872B15" w:rsidRDefault="00743A6B" w:rsidP="00DD4A17">
      <w:pPr>
        <w:ind w:left="810" w:hanging="810"/>
        <w:rPr>
          <w:b/>
        </w:rPr>
      </w:pPr>
      <w:r>
        <w:rPr>
          <w:b/>
        </w:rPr>
        <w:t>Date:</w:t>
      </w:r>
      <w:r>
        <w:rPr>
          <w:b/>
        </w:rPr>
        <w:tab/>
      </w:r>
      <w:r w:rsidR="00955263">
        <w:rPr>
          <w:b/>
        </w:rPr>
        <w:t xml:space="preserve">September </w:t>
      </w:r>
      <w:r w:rsidR="00156845">
        <w:rPr>
          <w:b/>
        </w:rPr>
        <w:t xml:space="preserve">13, </w:t>
      </w:r>
      <w:r w:rsidR="009C7523">
        <w:rPr>
          <w:b/>
        </w:rPr>
        <w:t>2021</w:t>
      </w:r>
    </w:p>
    <w:p w14:paraId="32F3AD34" w14:textId="77777777" w:rsidR="0017385C" w:rsidRDefault="0017385C" w:rsidP="00734F19"/>
    <w:p w14:paraId="73118C65" w14:textId="44FA07C7" w:rsidR="002D7D30" w:rsidRDefault="002D7D30" w:rsidP="00F72DCB">
      <w:pPr>
        <w:pStyle w:val="Heading1"/>
      </w:pPr>
      <w:r>
        <w:t>Executive Summary:</w:t>
      </w:r>
    </w:p>
    <w:p w14:paraId="46E32123" w14:textId="673D1AB6" w:rsidR="00D86349" w:rsidRDefault="00AD3680" w:rsidP="009433D8">
      <w:r>
        <w:t>T</w:t>
      </w:r>
      <w:r w:rsidR="00DA4403">
        <w:t>o build good assessment practices, recognize programs’ work, and provide support, t</w:t>
      </w:r>
      <w:r>
        <w:t>he</w:t>
      </w:r>
      <w:r w:rsidR="002D7D30">
        <w:t xml:space="preserve"> University Assessment Council</w:t>
      </w:r>
      <w:r w:rsidR="009C7523">
        <w:t xml:space="preserve"> conducts an annual review of a</w:t>
      </w:r>
      <w:r w:rsidR="002D7D30">
        <w:t xml:space="preserve"> 10% sample of assessment plans</w:t>
      </w:r>
      <w:r w:rsidR="009C7523">
        <w:t xml:space="preserve"> (see </w:t>
      </w:r>
      <w:r w:rsidR="00DA4403">
        <w:t>details</w:t>
      </w:r>
      <w:r w:rsidR="009C7523">
        <w:t xml:space="preserve"> below). </w:t>
      </w:r>
      <w:r w:rsidR="00D86349">
        <w:t xml:space="preserve">The council uses the results to provide feedback to programs and recognize their work, to inform its own priorities and activities in the coming academic year, and as evidence for the Higher Learning Commission’s criterion </w:t>
      </w:r>
      <w:proofErr w:type="gramStart"/>
      <w:r w:rsidR="00D86349">
        <w:t>4B</w:t>
      </w:r>
      <w:proofErr w:type="gramEnd"/>
      <w:r w:rsidR="00D86349">
        <w:t xml:space="preserve"> (</w:t>
      </w:r>
      <w:r w:rsidR="00566FDC" w:rsidRPr="00566FDC">
        <w:rPr>
          <w:i/>
        </w:rPr>
        <w:t xml:space="preserve">the </w:t>
      </w:r>
      <w:r w:rsidR="00D86349" w:rsidRPr="00566FDC">
        <w:rPr>
          <w:i/>
        </w:rPr>
        <w:t>ongoing assessment of student learning reflects good practice</w:t>
      </w:r>
      <w:r w:rsidR="00D86349">
        <w:t>).</w:t>
      </w:r>
    </w:p>
    <w:p w14:paraId="2F1EBF5F" w14:textId="34EFDA6C" w:rsidR="00536FFA" w:rsidRPr="009C7523" w:rsidRDefault="009C7523" w:rsidP="009433D8">
      <w:pPr>
        <w:rPr>
          <w:highlight w:val="yellow"/>
        </w:rPr>
      </w:pPr>
      <w:r>
        <w:t>The 2021 review showed</w:t>
      </w:r>
      <w:r w:rsidR="002D7D30">
        <w:t xml:space="preserve"> </w:t>
      </w:r>
      <w:r w:rsidR="009433D8">
        <w:t xml:space="preserve">a smaller percentage of reviewed programs submitting complete assessment plans, which lowered their scores for overall good assessment practices. Results also indicated </w:t>
      </w:r>
      <w:r w:rsidR="00F9393F">
        <w:t xml:space="preserve">equal or </w:t>
      </w:r>
      <w:bookmarkStart w:id="0" w:name="_GoBack"/>
      <w:bookmarkEnd w:id="0"/>
      <w:r w:rsidR="009433D8">
        <w:t>h</w:t>
      </w:r>
      <w:r w:rsidR="002D7D30" w:rsidRPr="00AA1DF2">
        <w:t xml:space="preserve">igher quality assessment practices in </w:t>
      </w:r>
      <w:r w:rsidR="009433D8">
        <w:t>four</w:t>
      </w:r>
      <w:r w:rsidR="002D7D30" w:rsidRPr="00AA1DF2">
        <w:t xml:space="preserve"> of nine categories</w:t>
      </w:r>
      <w:r w:rsidR="006D4C07" w:rsidRPr="00AA1DF2">
        <w:t xml:space="preserve"> compared to </w:t>
      </w:r>
      <w:r>
        <w:t>2020</w:t>
      </w:r>
      <w:r w:rsidR="002D7D30" w:rsidRPr="00AA1DF2">
        <w:t xml:space="preserve">, with </w:t>
      </w:r>
      <w:r w:rsidR="00493D96" w:rsidRPr="00AA1DF2">
        <w:t>a de</w:t>
      </w:r>
      <w:r w:rsidR="00AA1DF2" w:rsidRPr="00AA1DF2">
        <w:t>crease in the remaining categories</w:t>
      </w:r>
      <w:r w:rsidR="002D7D30" w:rsidRPr="00AA1DF2">
        <w:t>.</w:t>
      </w:r>
      <w:r w:rsidR="00AA1DF2">
        <w:t xml:space="preserve"> </w:t>
      </w:r>
    </w:p>
    <w:p w14:paraId="69823F44" w14:textId="3CB716BC" w:rsidR="00054549" w:rsidRPr="0052764D" w:rsidRDefault="00054549" w:rsidP="00054549">
      <w:r>
        <w:t xml:space="preserve">The University </w:t>
      </w:r>
      <w:r w:rsidR="006D4C07">
        <w:t xml:space="preserve">Assessment Council </w:t>
      </w:r>
      <w:r w:rsidR="00D86349">
        <w:t>identified several</w:t>
      </w:r>
      <w:r>
        <w:t xml:space="preserve"> actions to take in response to these results.</w:t>
      </w:r>
      <w:r w:rsidR="007C76F0">
        <w:t xml:space="preserve"> </w:t>
      </w:r>
      <w:r w:rsidR="007C76F0" w:rsidRPr="009433D8">
        <w:t xml:space="preserve">Primary among them is to </w:t>
      </w:r>
      <w:r w:rsidR="009433D8">
        <w:t xml:space="preserve">offer university- and college-level “coffee hours” to raise awareness of expectations and resources and to provide opportunities for questions from programs. In addition, </w:t>
      </w:r>
      <w:r w:rsidR="00D86349">
        <w:t>the council</w:t>
      </w:r>
      <w:r w:rsidR="009433D8">
        <w:t xml:space="preserve"> will develop an infographic for assessment coordinators as a simple visual explanation of responsibilities and resources and create more interactive online training options to complement the resources currently on the Assessment website.</w:t>
      </w:r>
    </w:p>
    <w:p w14:paraId="31FA29FB" w14:textId="4D080613" w:rsidR="002D7D30" w:rsidRDefault="002D7D30" w:rsidP="00734F19">
      <w:pPr>
        <w:rPr>
          <w:u w:val="single"/>
        </w:rPr>
      </w:pPr>
    </w:p>
    <w:p w14:paraId="47DDF3B3" w14:textId="3B52FC42" w:rsidR="00E6389B" w:rsidRDefault="00E6389B" w:rsidP="00F72DCB">
      <w:pPr>
        <w:pStyle w:val="Heading1"/>
      </w:pPr>
      <w:r>
        <w:t>Full report</w:t>
      </w:r>
    </w:p>
    <w:p w14:paraId="7954CB69" w14:textId="38A7BDB0" w:rsidR="0017385C" w:rsidRPr="00E6389B" w:rsidRDefault="008C4140" w:rsidP="00F72DCB">
      <w:pPr>
        <w:pStyle w:val="Heading2"/>
      </w:pPr>
      <w:r w:rsidRPr="00E6389B">
        <w:t>Goals</w:t>
      </w:r>
      <w:r w:rsidR="005C06A3" w:rsidRPr="00E6389B">
        <w:t xml:space="preserve"> of this review</w:t>
      </w:r>
      <w:r w:rsidR="0017385C" w:rsidRPr="00E6389B">
        <w:t>:</w:t>
      </w:r>
    </w:p>
    <w:p w14:paraId="5847A834" w14:textId="30B16C18" w:rsidR="009C7523" w:rsidRDefault="009C7523" w:rsidP="00DD4A17">
      <w:pPr>
        <w:pStyle w:val="ListParagraph"/>
        <w:numPr>
          <w:ilvl w:val="0"/>
          <w:numId w:val="1"/>
        </w:numPr>
      </w:pPr>
      <w:r>
        <w:t>Recognize programs’ good assessment practices.</w:t>
      </w:r>
    </w:p>
    <w:p w14:paraId="512F1383" w14:textId="63CD5BCD" w:rsidR="00DD4A17" w:rsidRPr="0052764D" w:rsidRDefault="00DD4A17" w:rsidP="00DD4A17">
      <w:pPr>
        <w:pStyle w:val="ListParagraph"/>
        <w:numPr>
          <w:ilvl w:val="0"/>
          <w:numId w:val="1"/>
        </w:numPr>
      </w:pPr>
      <w:r>
        <w:t>P</w:t>
      </w:r>
      <w:r w:rsidRPr="0052764D">
        <w:t xml:space="preserve">rovide feedback to programs regarding best practices in program assessment. This feedback </w:t>
      </w:r>
      <w:proofErr w:type="gramStart"/>
      <w:r w:rsidRPr="0052764D">
        <w:t>is intended</w:t>
      </w:r>
      <w:proofErr w:type="gramEnd"/>
      <w:r w:rsidRPr="0052764D">
        <w:t xml:space="preserve"> to help programs develop an understanding of assessment practices and get the most benefit from their assessment efforts.</w:t>
      </w:r>
    </w:p>
    <w:p w14:paraId="160C59A8" w14:textId="3EBA0F9B" w:rsidR="00DD4A17" w:rsidRPr="0052764D" w:rsidRDefault="00DD4A17" w:rsidP="00DD4A17">
      <w:pPr>
        <w:pStyle w:val="ListParagraph"/>
        <w:numPr>
          <w:ilvl w:val="0"/>
          <w:numId w:val="1"/>
        </w:numPr>
      </w:pPr>
      <w:r>
        <w:t>M</w:t>
      </w:r>
      <w:r w:rsidRPr="0052764D">
        <w:t xml:space="preserve">odel the use of a feedback rubric for individuals and assessment committees at the </w:t>
      </w:r>
      <w:r w:rsidR="006D4C07">
        <w:t>c</w:t>
      </w:r>
      <w:r w:rsidRPr="0052764D">
        <w:t xml:space="preserve">ollege, </w:t>
      </w:r>
      <w:r w:rsidR="006D4C07">
        <w:t>s</w:t>
      </w:r>
      <w:r w:rsidRPr="0052764D">
        <w:t xml:space="preserve">chool, </w:t>
      </w:r>
      <w:r w:rsidR="006D4C07">
        <w:t>d</w:t>
      </w:r>
      <w:r w:rsidRPr="0052764D">
        <w:t xml:space="preserve">ivision, or </w:t>
      </w:r>
      <w:r w:rsidR="000A3BC9">
        <w:t>d</w:t>
      </w:r>
      <w:r w:rsidRPr="0052764D">
        <w:t>epartment levels, who in turn can use the rubric to improve their own assessment plan</w:t>
      </w:r>
      <w:r>
        <w:t>s or provide feedback to others.</w:t>
      </w:r>
    </w:p>
    <w:p w14:paraId="72D83AC0" w14:textId="5152A0B9" w:rsidR="00DD4A17" w:rsidRPr="0052764D" w:rsidRDefault="00DD4A17" w:rsidP="00DD4A17">
      <w:pPr>
        <w:pStyle w:val="ListParagraph"/>
        <w:numPr>
          <w:ilvl w:val="0"/>
          <w:numId w:val="1"/>
        </w:numPr>
      </w:pPr>
      <w:r>
        <w:t>G</w:t>
      </w:r>
      <w:r w:rsidRPr="0052764D">
        <w:t xml:space="preserve">ather evidence of the current state of assessment on campus that can inform the University Assessment Council’s </w:t>
      </w:r>
      <w:r>
        <w:t xml:space="preserve">and the WSU Director of Assessment’s </w:t>
      </w:r>
      <w:r w:rsidRPr="0052764D">
        <w:t xml:space="preserve">support </w:t>
      </w:r>
      <w:r>
        <w:t>of</w:t>
      </w:r>
      <w:r w:rsidR="006D4C07">
        <w:t xml:space="preserve"> </w:t>
      </w:r>
      <w:r w:rsidRPr="0052764D">
        <w:t>program assessment efforts</w:t>
      </w:r>
      <w:r w:rsidR="006D4C07">
        <w:t xml:space="preserve"> across campus</w:t>
      </w:r>
      <w:r w:rsidRPr="0052764D">
        <w:t>.</w:t>
      </w:r>
    </w:p>
    <w:p w14:paraId="6C52C4D8" w14:textId="27AE4BCB" w:rsidR="00DD4A17" w:rsidRPr="0052764D" w:rsidRDefault="00DD4A17" w:rsidP="00DD4A17">
      <w:pPr>
        <w:pStyle w:val="ListParagraph"/>
        <w:numPr>
          <w:ilvl w:val="0"/>
          <w:numId w:val="1"/>
        </w:numPr>
      </w:pPr>
      <w:r>
        <w:lastRenderedPageBreak/>
        <w:t>P</w:t>
      </w:r>
      <w:r w:rsidRPr="0052764D">
        <w:t>rovide evidence to the Higher Learning Commission that Wayne State has the processes, structures, and support in place to enable and sustain data-</w:t>
      </w:r>
      <w:r>
        <w:t>informed</w:t>
      </w:r>
      <w:r w:rsidRPr="0052764D">
        <w:t xml:space="preserve"> continuous improvement of student learning.</w:t>
      </w:r>
    </w:p>
    <w:p w14:paraId="0F2870B4" w14:textId="77777777" w:rsidR="00495947" w:rsidRDefault="00495947" w:rsidP="00D86349">
      <w:pPr>
        <w:pStyle w:val="Heading2"/>
      </w:pPr>
    </w:p>
    <w:p w14:paraId="211572A1" w14:textId="213BD35E" w:rsidR="0017385C" w:rsidRPr="00E6389B" w:rsidRDefault="0017385C" w:rsidP="00D86349">
      <w:pPr>
        <w:pStyle w:val="Heading2"/>
      </w:pPr>
      <w:r w:rsidRPr="00E6389B">
        <w:t xml:space="preserve">Process </w:t>
      </w:r>
      <w:r w:rsidR="008C4140" w:rsidRPr="00E6389B">
        <w:t>and Rating S</w:t>
      </w:r>
      <w:r w:rsidR="00054549" w:rsidRPr="00E6389B">
        <w:t>cale</w:t>
      </w:r>
      <w:r w:rsidRPr="00E6389B">
        <w:t>:</w:t>
      </w:r>
    </w:p>
    <w:p w14:paraId="25D7164C" w14:textId="27883316" w:rsidR="0017385C" w:rsidRDefault="00592E00" w:rsidP="00734F19">
      <w:r>
        <w:t>For</w:t>
      </w:r>
      <w:r w:rsidR="0017385C">
        <w:t xml:space="preserve"> </w:t>
      </w:r>
      <w:r w:rsidR="009C7523">
        <w:t>AY20-21</w:t>
      </w:r>
      <w:r w:rsidR="006D4C07">
        <w:t>,</w:t>
      </w:r>
      <w:r w:rsidR="00F4162C">
        <w:t xml:space="preserve"> </w:t>
      </w:r>
      <w:r w:rsidR="00AD3680">
        <w:t xml:space="preserve">a 10% sample of all </w:t>
      </w:r>
      <w:r w:rsidR="00F4162C">
        <w:t xml:space="preserve">assessment plans </w:t>
      </w:r>
      <w:r w:rsidR="00AD3680">
        <w:t>(n=</w:t>
      </w:r>
      <w:r w:rsidR="005C06A3">
        <w:t>3</w:t>
      </w:r>
      <w:r w:rsidR="009C7523">
        <w:t>5</w:t>
      </w:r>
      <w:r w:rsidR="00AD3680">
        <w:t>)</w:t>
      </w:r>
      <w:r w:rsidR="0017385C">
        <w:t xml:space="preserve"> were downloaded </w:t>
      </w:r>
      <w:r w:rsidR="006D4C07">
        <w:t xml:space="preserve">in </w:t>
      </w:r>
      <w:r w:rsidR="009C7523">
        <w:t>July 2021</w:t>
      </w:r>
      <w:r w:rsidR="00F4167F">
        <w:t>.</w:t>
      </w:r>
      <w:r w:rsidR="0017385C">
        <w:t xml:space="preserve"> </w:t>
      </w:r>
      <w:r w:rsidR="00F4167F">
        <w:t xml:space="preserve">Programs at the midpoint of their APR cycle were included in the sample; others </w:t>
      </w:r>
      <w:proofErr w:type="gramStart"/>
      <w:r w:rsidR="00F4167F">
        <w:t>were randomly selected</w:t>
      </w:r>
      <w:proofErr w:type="gramEnd"/>
      <w:r w:rsidR="006D4C07">
        <w:t xml:space="preserve"> from among programs not previously reviewed</w:t>
      </w:r>
      <w:r w:rsidR="00F4167F">
        <w:t xml:space="preserve">. </w:t>
      </w:r>
      <w:r w:rsidR="00CF3DE4">
        <w:t xml:space="preserve">Fourteen </w:t>
      </w:r>
      <w:r w:rsidR="0017385C">
        <w:t>University Assessment Council representatives</w:t>
      </w:r>
      <w:r w:rsidR="0003736F">
        <w:t xml:space="preserve"> </w:t>
      </w:r>
      <w:r w:rsidR="00CF3DE4">
        <w:t>and</w:t>
      </w:r>
      <w:r w:rsidR="00907656">
        <w:t xml:space="preserve"> faculty and staff volunteers</w:t>
      </w:r>
      <w:r w:rsidR="00F4167F">
        <w:t xml:space="preserve"> served as reviewers. Reviewers completed</w:t>
      </w:r>
      <w:r w:rsidR="0003736F">
        <w:t xml:space="preserve"> training and norming session</w:t>
      </w:r>
      <w:r w:rsidR="006D4C07">
        <w:t>s</w:t>
      </w:r>
      <w:r w:rsidR="00F4167F" w:rsidRPr="00F4167F">
        <w:t xml:space="preserve"> </w:t>
      </w:r>
      <w:r w:rsidR="00F4167F">
        <w:t xml:space="preserve">and then reviewed their assigned assessment plans using the WSU </w:t>
      </w:r>
      <w:hyperlink r:id="rId7" w:history="1">
        <w:r w:rsidR="009C7523">
          <w:rPr>
            <w:rStyle w:val="Hyperlink"/>
          </w:rPr>
          <w:t xml:space="preserve">Assessment </w:t>
        </w:r>
        <w:r w:rsidR="00CF3DE4">
          <w:rPr>
            <w:rStyle w:val="Hyperlink"/>
          </w:rPr>
          <w:t>Practices</w:t>
        </w:r>
        <w:r w:rsidR="009C7523">
          <w:rPr>
            <w:rStyle w:val="Hyperlink"/>
          </w:rPr>
          <w:t xml:space="preserve"> Feedback Rubric</w:t>
        </w:r>
      </w:hyperlink>
      <w:r w:rsidR="009C7523">
        <w:t xml:space="preserve"> to score the selected assessment plans</w:t>
      </w:r>
      <w:r w:rsidR="00B77CDB">
        <w:t>.</w:t>
      </w:r>
    </w:p>
    <w:p w14:paraId="48789B32" w14:textId="14010523" w:rsidR="008C4140" w:rsidRPr="00AD3680" w:rsidRDefault="00F4167F" w:rsidP="006E5D27">
      <w:r>
        <w:t xml:space="preserve">The rubric identifies </w:t>
      </w:r>
      <w:r w:rsidR="00AD3680">
        <w:t>a four-point scale</w:t>
      </w:r>
      <w:r w:rsidR="00734F19">
        <w:t xml:space="preserve"> of </w:t>
      </w:r>
      <w:r>
        <w:t xml:space="preserve">assessment planning </w:t>
      </w:r>
      <w:r w:rsidR="00734F19">
        <w:t xml:space="preserve">quality: </w:t>
      </w:r>
      <w:r w:rsidR="00734F19" w:rsidRPr="00173B1A">
        <w:rPr>
          <w:b/>
        </w:rPr>
        <w:t>Reflects best practices</w:t>
      </w:r>
      <w:r w:rsidR="00AD3680">
        <w:rPr>
          <w:b/>
        </w:rPr>
        <w:t xml:space="preserve"> (3)</w:t>
      </w:r>
      <w:r w:rsidR="00734F19">
        <w:t xml:space="preserve">, </w:t>
      </w:r>
      <w:r w:rsidR="00734F19" w:rsidRPr="00173B1A">
        <w:rPr>
          <w:b/>
        </w:rPr>
        <w:t>Meets standards</w:t>
      </w:r>
      <w:r w:rsidR="00AD3680">
        <w:rPr>
          <w:b/>
        </w:rPr>
        <w:t xml:space="preserve"> (2)</w:t>
      </w:r>
      <w:r w:rsidR="00734F19">
        <w:t xml:space="preserve">, and </w:t>
      </w:r>
      <w:r w:rsidR="00734F19" w:rsidRPr="00173B1A">
        <w:rPr>
          <w:b/>
        </w:rPr>
        <w:t>Needs development</w:t>
      </w:r>
      <w:r w:rsidR="00AD3680">
        <w:rPr>
          <w:b/>
        </w:rPr>
        <w:t xml:space="preserve"> (1) </w:t>
      </w:r>
      <w:r w:rsidR="00AD3680" w:rsidRPr="00AD3680">
        <w:t>and</w:t>
      </w:r>
      <w:r w:rsidR="00AD3680">
        <w:t xml:space="preserve"> </w:t>
      </w:r>
      <w:proofErr w:type="gramStart"/>
      <w:r w:rsidR="00AD3680">
        <w:rPr>
          <w:b/>
        </w:rPr>
        <w:t>Not</w:t>
      </w:r>
      <w:proofErr w:type="gramEnd"/>
      <w:r w:rsidR="00AD3680">
        <w:rPr>
          <w:b/>
        </w:rPr>
        <w:t xml:space="preserve"> submitted (0)</w:t>
      </w:r>
      <w:r w:rsidR="00AD3680">
        <w:t>.</w:t>
      </w:r>
    </w:p>
    <w:p w14:paraId="04396A40" w14:textId="77777777" w:rsidR="000F1AA4" w:rsidRDefault="000F1AA4" w:rsidP="006E5D27">
      <w:pPr>
        <w:rPr>
          <w:u w:val="single"/>
        </w:rPr>
      </w:pPr>
    </w:p>
    <w:p w14:paraId="463584CA" w14:textId="180EA0BE" w:rsidR="00054549" w:rsidRDefault="00054549" w:rsidP="00F72DCB">
      <w:pPr>
        <w:pStyle w:val="Heading2"/>
      </w:pPr>
      <w:r w:rsidRPr="003132C1">
        <w:t>Results:</w:t>
      </w:r>
    </w:p>
    <w:p w14:paraId="0BA62614" w14:textId="77777777" w:rsidR="004629B1" w:rsidRDefault="00C50B88" w:rsidP="00C50B88">
      <w:r>
        <w:t xml:space="preserve">Among the </w:t>
      </w:r>
      <w:r w:rsidR="00CF3DE4">
        <w:t xml:space="preserve">AY19-20 </w:t>
      </w:r>
      <w:r>
        <w:t xml:space="preserve">reviewed plans, </w:t>
      </w:r>
      <w:r w:rsidR="00CF3DE4">
        <w:t>45</w:t>
      </w:r>
      <w:r>
        <w:t xml:space="preserve">% received an overall score of “Meets standards” or “Reflects best practices”, which </w:t>
      </w:r>
      <w:r w:rsidR="00CF3DE4">
        <w:t>is four percentage points below the previous year’s rate</w:t>
      </w:r>
      <w:r>
        <w:t>. (See Figure 1.)</w:t>
      </w:r>
      <w:r w:rsidR="00CF3DE4">
        <w:t xml:space="preserve"> The percentages in Figure 1 are affected by (1) programs’ completion of assessment documentation, (2) the quality of individual assessment plan items (e.g., mission statements, learning outcomes), and (3) </w:t>
      </w:r>
      <w:r w:rsidR="00F72DCB">
        <w:t>greater</w:t>
      </w:r>
      <w:r w:rsidR="00CF3DE4">
        <w:t xml:space="preserve"> weight assigned to key items (e.g., results, action plans). </w:t>
      </w:r>
    </w:p>
    <w:p w14:paraId="2BCE3F08" w14:textId="39A50B10" w:rsidR="00C50B88" w:rsidRDefault="00CF3DE4" w:rsidP="00C50B88">
      <w:r>
        <w:t>The decrease in programs’ submission rates for results (-18%), action plans (-16%), and timelines (-13%) was a substantial factor in the lower overall scores.</w:t>
      </w:r>
    </w:p>
    <w:p w14:paraId="0C4783B0" w14:textId="77777777" w:rsidR="00170FD0" w:rsidRPr="00196931" w:rsidRDefault="00170FD0" w:rsidP="00170FD0">
      <w:r>
        <w:rPr>
          <w:noProof/>
        </w:rPr>
        <w:drawing>
          <wp:inline distT="0" distB="0" distL="0" distR="0" wp14:anchorId="2E939B6E" wp14:editId="10B89BB0">
            <wp:extent cx="5213350" cy="258445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058E93" w14:textId="0C131AA3" w:rsidR="00CF3DE4" w:rsidRDefault="00CF3DE4" w:rsidP="00CF3DE4">
      <w:pPr>
        <w:ind w:left="720"/>
      </w:pPr>
      <w:r>
        <w:t>NB: This review follows a full year of remote teaching and learning due to the coronavirus pandemic. In addition, the review date returned to normal (i.e., July, without the three-month extension given in AY 19-20). As such, completion rates are not directly comparable from last year to this year.</w:t>
      </w:r>
    </w:p>
    <w:p w14:paraId="37336E50" w14:textId="77777777" w:rsidR="00170FD0" w:rsidRDefault="00170FD0" w:rsidP="00C50B88"/>
    <w:p w14:paraId="65E2EE18" w14:textId="6AEEB879" w:rsidR="00711A58" w:rsidRPr="00CF3DE4" w:rsidRDefault="004629B1" w:rsidP="00CF3DE4">
      <w:r>
        <w:t xml:space="preserve">Figure 2 </w:t>
      </w:r>
      <w:r w:rsidR="00D86349">
        <w:t xml:space="preserve">(below) </w:t>
      </w:r>
      <w:r>
        <w:t>presents t</w:t>
      </w:r>
      <w:r w:rsidR="00CF3DE4">
        <w:t xml:space="preserve">he results for individual items (paired with the overall scores); they exclusively reflect the quality of individual items that programs submitted. Missing items </w:t>
      </w:r>
      <w:proofErr w:type="gramStart"/>
      <w:r w:rsidR="00CF3DE4">
        <w:t>are excluded</w:t>
      </w:r>
      <w:proofErr w:type="gramEnd"/>
      <w:r w:rsidR="00CF3DE4">
        <w:t xml:space="preserve"> to isolate quality measures from completion rates. Figure 2 also compares University performance in AY20-21 to AY19-20.</w:t>
      </w:r>
    </w:p>
    <w:p w14:paraId="069B08B1" w14:textId="3285471F" w:rsidR="00CF3DE4" w:rsidRDefault="001739DB" w:rsidP="00CF3DE4">
      <w:r>
        <w:t>Individual item s</w:t>
      </w:r>
      <w:r w:rsidRPr="00AA1DF2">
        <w:t xml:space="preserve">cores were </w:t>
      </w:r>
      <w:r w:rsidRPr="00A104F0">
        <w:t xml:space="preserve">equal or higher in </w:t>
      </w:r>
      <w:r>
        <w:t>four</w:t>
      </w:r>
      <w:r w:rsidRPr="00A104F0">
        <w:t xml:space="preserve"> of nine scoring categories</w:t>
      </w:r>
      <w:r w:rsidRPr="00AA1DF2">
        <w:t xml:space="preserve"> (see Figure </w:t>
      </w:r>
      <w:r>
        <w:t>2</w:t>
      </w:r>
      <w:r w:rsidRPr="00AA1DF2">
        <w:t xml:space="preserve">) and showed a decrease in the remaining </w:t>
      </w:r>
      <w:r>
        <w:t xml:space="preserve">five </w:t>
      </w:r>
      <w:r w:rsidRPr="00AA1DF2">
        <w:t xml:space="preserve">categories. </w:t>
      </w:r>
    </w:p>
    <w:p w14:paraId="3EEA01A3" w14:textId="77777777" w:rsidR="00E317F3" w:rsidRDefault="00E317F3" w:rsidP="006E5D27">
      <w:pPr>
        <w:rPr>
          <w:u w:val="single"/>
        </w:rPr>
      </w:pPr>
    </w:p>
    <w:p w14:paraId="52AC4DCB" w14:textId="0196EDF1" w:rsidR="00734F19" w:rsidRDefault="00A777C7" w:rsidP="00734F19">
      <w:r>
        <w:rPr>
          <w:noProof/>
        </w:rPr>
        <w:drawing>
          <wp:inline distT="0" distB="0" distL="0" distR="0" wp14:anchorId="064DA786" wp14:editId="09C063CB">
            <wp:extent cx="6324600" cy="5067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704875" w14:textId="77777777" w:rsidR="00CF3DE4" w:rsidRDefault="00CF3DE4" w:rsidP="00CF3DE4">
      <w:r>
        <w:t>Reviewer comments identified areas for improvement in key items:</w:t>
      </w:r>
    </w:p>
    <w:p w14:paraId="2C9892D0" w14:textId="44F62FB6" w:rsidR="00CF3DE4" w:rsidRDefault="00CF3DE4" w:rsidP="00CF3DE4">
      <w:pPr>
        <w:pStyle w:val="ListParagraph"/>
        <w:numPr>
          <w:ilvl w:val="0"/>
          <w:numId w:val="22"/>
        </w:numPr>
      </w:pPr>
      <w:r w:rsidRPr="00CF3DE4">
        <w:rPr>
          <w:b/>
        </w:rPr>
        <w:t>Methods</w:t>
      </w:r>
      <w:r>
        <w:t>: Programs need to provide more description of the methods to show whether/how they systematically elicit relevant data, select direct rather than indirect methods, avoid course grades, and differentiate between assessments of program outcomes (e.g., employment, progress to degree) and learning outcomes.</w:t>
      </w:r>
    </w:p>
    <w:p w14:paraId="33913EA5" w14:textId="2C6FD186" w:rsidR="00CF3DE4" w:rsidRDefault="00CF3DE4" w:rsidP="00CF3DE4">
      <w:pPr>
        <w:pStyle w:val="ListParagraph"/>
        <w:numPr>
          <w:ilvl w:val="0"/>
          <w:numId w:val="22"/>
        </w:numPr>
      </w:pPr>
      <w:r w:rsidRPr="00CF3DE4">
        <w:rPr>
          <w:b/>
        </w:rPr>
        <w:lastRenderedPageBreak/>
        <w:t>Results</w:t>
      </w:r>
      <w:r>
        <w:t xml:space="preserve">: Programs summarize results, but also need to interpret them (e.g., Do the results meet the program’s target? Are there any data quality concerns?). Results for at least two outcomes </w:t>
      </w:r>
      <w:proofErr w:type="gramStart"/>
      <w:r>
        <w:t>must be submitted</w:t>
      </w:r>
      <w:proofErr w:type="gramEnd"/>
      <w:r>
        <w:t xml:space="preserve">, but </w:t>
      </w:r>
      <w:r w:rsidR="004629B1">
        <w:t xml:space="preserve">many </w:t>
      </w:r>
      <w:r>
        <w:t>programs only carried out one assessment</w:t>
      </w:r>
      <w:r w:rsidR="004629B1">
        <w:t xml:space="preserve"> and thus </w:t>
      </w:r>
      <w:r w:rsidR="00DC2293">
        <w:t>need to be encouraged to complete assessments for a second learning outcome</w:t>
      </w:r>
      <w:r>
        <w:t>.</w:t>
      </w:r>
    </w:p>
    <w:p w14:paraId="16938D71" w14:textId="00A6F652" w:rsidR="00CF3DE4" w:rsidRDefault="00CF3DE4" w:rsidP="00CF3DE4">
      <w:pPr>
        <w:pStyle w:val="ListParagraph"/>
        <w:numPr>
          <w:ilvl w:val="0"/>
          <w:numId w:val="22"/>
        </w:numPr>
      </w:pPr>
      <w:r w:rsidRPr="00CF3DE4">
        <w:rPr>
          <w:b/>
        </w:rPr>
        <w:t>Action plans:</w:t>
      </w:r>
      <w:r>
        <w:t xml:space="preserve"> Responsibility for implementing the action plan is vague or omitted; individuals or groups who need to take actions </w:t>
      </w:r>
      <w:proofErr w:type="gramStart"/>
      <w:r>
        <w:t>should be specified</w:t>
      </w:r>
      <w:proofErr w:type="gramEnd"/>
      <w:r>
        <w:t xml:space="preserve">. Programs identify actions that are unrelated to their assessment results; actions should link directly and be a response to the results. </w:t>
      </w:r>
    </w:p>
    <w:p w14:paraId="20445DD1" w14:textId="5901EA1C" w:rsidR="00CF3DE4" w:rsidRDefault="00CF3DE4" w:rsidP="00CF3DE4">
      <w:pPr>
        <w:pStyle w:val="ListParagraph"/>
        <w:numPr>
          <w:ilvl w:val="0"/>
          <w:numId w:val="22"/>
        </w:numPr>
      </w:pPr>
      <w:proofErr w:type="gramStart"/>
      <w:r w:rsidRPr="00CF3DE4">
        <w:rPr>
          <w:b/>
        </w:rPr>
        <w:t>Overall</w:t>
      </w:r>
      <w:r>
        <w:t>:</w:t>
      </w:r>
      <w:proofErr w:type="gramEnd"/>
      <w:r>
        <w:t xml:space="preserve"> Programs need to submit results, action plans, and timelines to have higher overall scores.</w:t>
      </w:r>
    </w:p>
    <w:p w14:paraId="1632E7EE" w14:textId="2C53BC2D" w:rsidR="00170FD0" w:rsidRDefault="00170FD0" w:rsidP="00734F19"/>
    <w:p w14:paraId="549F97F8" w14:textId="77777777" w:rsidR="00170FD0" w:rsidRPr="00F72DCB" w:rsidRDefault="00170FD0" w:rsidP="00AB2E3C">
      <w:pPr>
        <w:pStyle w:val="Heading2"/>
      </w:pPr>
      <w:r w:rsidRPr="00F72DCB">
        <w:t>Action Plan:</w:t>
      </w:r>
    </w:p>
    <w:p w14:paraId="2663F312" w14:textId="7A2242FC" w:rsidR="00E6389B" w:rsidRDefault="000F1AA4" w:rsidP="000F1AA4">
      <w:r>
        <w:t xml:space="preserve">The University Assessment Council met </w:t>
      </w:r>
      <w:r w:rsidR="009C7523">
        <w:t>in August 2021</w:t>
      </w:r>
      <w:r>
        <w:t xml:space="preserve"> to discuss actions to take in response to these results. </w:t>
      </w:r>
      <w:r w:rsidR="00E6389B" w:rsidRPr="009433D8">
        <w:t xml:space="preserve">Primary among them is to </w:t>
      </w:r>
      <w:r w:rsidR="00E6389B">
        <w:t xml:space="preserve">offer university- and college-level “coffee hours” to raise awareness of expectations and resources and to provide opportunities for questions from programs. The council’s representatives from Education piloted a successful model in </w:t>
      </w:r>
      <w:proofErr w:type="gramStart"/>
      <w:r w:rsidR="00E6389B">
        <w:t>Winter</w:t>
      </w:r>
      <w:proofErr w:type="gramEnd"/>
      <w:r w:rsidR="00E6389B">
        <w:t xml:space="preserve"> 2021 that includes virtual options and multiple invitations to assessment coordinators and other faculty and staff with a role in program assessment.</w:t>
      </w:r>
    </w:p>
    <w:p w14:paraId="097FF5A6" w14:textId="3BEA48AB" w:rsidR="000F1AA4" w:rsidRPr="0052764D" w:rsidRDefault="00E6389B" w:rsidP="000F1AA4">
      <w:r>
        <w:t>In addition, the council will develop an infographic for assessment coordinators as a simple visual explanation of responsibilities and resources in an effort to make assessment terminology more familiar and accessible to faculty and staff members. Finally, we plan to create more interactive online training options to complement the resources currently on the Assessment website</w:t>
      </w:r>
      <w:r w:rsidR="00AB4FDD">
        <w:t xml:space="preserve"> (</w:t>
      </w:r>
      <w:hyperlink r:id="rId10" w:history="1">
        <w:r w:rsidR="00AB4FDD" w:rsidRPr="00D417CC">
          <w:rPr>
            <w:rStyle w:val="Hyperlink"/>
          </w:rPr>
          <w:t>https://wayne.edu/assessment</w:t>
        </w:r>
      </w:hyperlink>
      <w:r w:rsidR="00AB4FDD">
        <w:t>).</w:t>
      </w:r>
    </w:p>
    <w:p w14:paraId="0CC5310A" w14:textId="77777777" w:rsidR="000F1AA4" w:rsidRDefault="000F1AA4" w:rsidP="00170FD0">
      <w:pPr>
        <w:rPr>
          <w:u w:val="single"/>
        </w:rPr>
      </w:pPr>
    </w:p>
    <w:p w14:paraId="75823CB6" w14:textId="03DEE9EA" w:rsidR="00170FD0" w:rsidRPr="00F72DCB" w:rsidRDefault="009C7523" w:rsidP="00AB2E3C">
      <w:pPr>
        <w:pStyle w:val="Heading2"/>
      </w:pPr>
      <w:r w:rsidRPr="00F72DCB">
        <w:t>Stakeholder Engagement</w:t>
      </w:r>
      <w:r w:rsidR="00170FD0" w:rsidRPr="00F72DCB">
        <w:t>:</w:t>
      </w:r>
    </w:p>
    <w:p w14:paraId="1B3FDD2F" w14:textId="77777777" w:rsidR="00331317" w:rsidRDefault="00170FD0" w:rsidP="00170FD0">
      <w:r>
        <w:t>Each program will receive a report with</w:t>
      </w:r>
      <w:r w:rsidRPr="0052764D">
        <w:t xml:space="preserve"> </w:t>
      </w:r>
      <w:r w:rsidR="00AB2E3C">
        <w:t>a graph similar to Figure 2 that</w:t>
      </w:r>
      <w:r>
        <w:t xml:space="preserve"> </w:t>
      </w:r>
      <w:r w:rsidR="00AB2E3C">
        <w:t>compares the quality of its assessment practices to</w:t>
      </w:r>
      <w:r>
        <w:t xml:space="preserve"> all 3</w:t>
      </w:r>
      <w:r w:rsidR="009C7523">
        <w:t>5</w:t>
      </w:r>
      <w:r>
        <w:t xml:space="preserve"> reviewed plans</w:t>
      </w:r>
      <w:r w:rsidR="00331317">
        <w:t>. In addition, programs receive</w:t>
      </w:r>
      <w:r w:rsidRPr="0052764D">
        <w:t xml:space="preserve"> </w:t>
      </w:r>
      <w:r w:rsidR="00331317">
        <w:t>reviewer</w:t>
      </w:r>
      <w:r w:rsidRPr="0052764D">
        <w:t xml:space="preserve"> comments </w:t>
      </w:r>
      <w:r w:rsidR="00331317">
        <w:t>providing explanations and guidance for improving their assessment practices</w:t>
      </w:r>
      <w:r>
        <w:t xml:space="preserve">. </w:t>
      </w:r>
    </w:p>
    <w:p w14:paraId="20601731" w14:textId="102F625B" w:rsidR="00170FD0" w:rsidRDefault="00170FD0" w:rsidP="00170FD0">
      <w:r>
        <w:t xml:space="preserve">Individual meetings to discuss the </w:t>
      </w:r>
      <w:proofErr w:type="gramStart"/>
      <w:r>
        <w:t>review,</w:t>
      </w:r>
      <w:proofErr w:type="gramEnd"/>
      <w:r>
        <w:t xml:space="preserve"> answer questions, and offer support will be held with each program in </w:t>
      </w:r>
      <w:r w:rsidR="009C7523">
        <w:t>Fall</w:t>
      </w:r>
      <w:r>
        <w:t xml:space="preserve"> 2021. Attendees include program representatives, their University Assessment Council representative(s), and </w:t>
      </w:r>
      <w:r w:rsidR="00331317">
        <w:t>the WSU Director of Assessment</w:t>
      </w:r>
      <w:r>
        <w:t>.</w:t>
      </w:r>
    </w:p>
    <w:p w14:paraId="21667D0F" w14:textId="5FC9A88D" w:rsidR="00170FD0" w:rsidRDefault="00170FD0" w:rsidP="00170FD0">
      <w:r>
        <w:t xml:space="preserve">This university-level report </w:t>
      </w:r>
      <w:proofErr w:type="gramStart"/>
      <w:r w:rsidR="004E47BD">
        <w:t xml:space="preserve">is </w:t>
      </w:r>
      <w:r>
        <w:t>shared</w:t>
      </w:r>
      <w:proofErr w:type="gramEnd"/>
      <w:r>
        <w:t xml:space="preserve"> with the University Assessment Council and other volunteer reviewers, and will be submitted in Planni</w:t>
      </w:r>
      <w:r w:rsidR="009C7523">
        <w:t>ng as one element</w:t>
      </w:r>
      <w:r>
        <w:t xml:space="preserve"> of my office’s assessment plan. These results will also be included in </w:t>
      </w:r>
      <w:r w:rsidR="003132C1">
        <w:t>WSU Assessment</w:t>
      </w:r>
      <w:r>
        <w:t xml:space="preserve">’s </w:t>
      </w:r>
      <w:r w:rsidR="009C7523">
        <w:t>AY20-21</w:t>
      </w:r>
      <w:r>
        <w:t xml:space="preserve"> annual report and posted publically at </w:t>
      </w:r>
      <w:hyperlink r:id="rId11" w:history="1">
        <w:r w:rsidR="009C7523" w:rsidRPr="008F1D79">
          <w:rPr>
            <w:rStyle w:val="Hyperlink"/>
          </w:rPr>
          <w:t>https://wayne.edu/assessment/progress</w:t>
        </w:r>
      </w:hyperlink>
      <w:r>
        <w:t xml:space="preserve">.  </w:t>
      </w:r>
    </w:p>
    <w:p w14:paraId="73D85C26" w14:textId="77777777" w:rsidR="00170FD0" w:rsidRDefault="00170FD0" w:rsidP="00170FD0">
      <w:r>
        <w:t xml:space="preserve">The university-level report </w:t>
      </w:r>
      <w:proofErr w:type="gramStart"/>
      <w:r>
        <w:t>will additionally be submitted</w:t>
      </w:r>
      <w:proofErr w:type="gramEnd"/>
      <w:r>
        <w:t xml:space="preserve"> to the Higher Learning Commission for our next required review.</w:t>
      </w:r>
    </w:p>
    <w:p w14:paraId="2366D9D9" w14:textId="77777777" w:rsidR="00170FD0" w:rsidRDefault="00170FD0" w:rsidP="00734F19"/>
    <w:sectPr w:rsidR="00170FD0" w:rsidSect="00FC738E">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3F3A3" w14:textId="77777777" w:rsidR="000E07FC" w:rsidRDefault="000E07FC">
      <w:pPr>
        <w:spacing w:after="0" w:line="240" w:lineRule="auto"/>
      </w:pPr>
      <w:r>
        <w:separator/>
      </w:r>
    </w:p>
  </w:endnote>
  <w:endnote w:type="continuationSeparator" w:id="0">
    <w:p w14:paraId="435FEB6F" w14:textId="77777777" w:rsidR="000E07FC" w:rsidRDefault="000E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D7E1" w14:textId="601E1CB3" w:rsidR="000E07FC" w:rsidRDefault="009C7523">
    <w:pPr>
      <w:pStyle w:val="Footer"/>
    </w:pPr>
    <w:r>
      <w:t>AY20-21</w:t>
    </w:r>
    <w:r w:rsidR="00C1064E">
      <w:t xml:space="preserve"> Assessment </w:t>
    </w:r>
    <w:r w:rsidR="000444BD">
      <w:t>Practices</w:t>
    </w:r>
    <w:r w:rsidR="00C1064E">
      <w:t xml:space="preserve"> Review Report</w:t>
    </w:r>
    <w:r w:rsidR="005C06A3">
      <w:tab/>
    </w:r>
    <w:r w:rsidR="00C1064E">
      <w:tab/>
    </w:r>
    <w:r w:rsidR="00812B92">
      <w:fldChar w:fldCharType="begin"/>
    </w:r>
    <w:r w:rsidR="00812B92">
      <w:instrText xml:space="preserve"> PAGE   \* MERGEFORMAT </w:instrText>
    </w:r>
    <w:r w:rsidR="00812B92">
      <w:fldChar w:fldCharType="separate"/>
    </w:r>
    <w:r w:rsidR="00F9393F">
      <w:rPr>
        <w:noProof/>
      </w:rPr>
      <w:t>1</w:t>
    </w:r>
    <w:r w:rsidR="00812B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83FA" w14:textId="77777777" w:rsidR="000E07FC" w:rsidRDefault="000E07FC">
      <w:pPr>
        <w:spacing w:after="0" w:line="240" w:lineRule="auto"/>
      </w:pPr>
      <w:r>
        <w:separator/>
      </w:r>
    </w:p>
  </w:footnote>
  <w:footnote w:type="continuationSeparator" w:id="0">
    <w:p w14:paraId="4D53A257" w14:textId="77777777" w:rsidR="000E07FC" w:rsidRDefault="000E0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51A"/>
    <w:multiLevelType w:val="hybridMultilevel"/>
    <w:tmpl w:val="DB26E03A"/>
    <w:lvl w:ilvl="0" w:tplc="6F3261A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2F4F"/>
    <w:multiLevelType w:val="hybridMultilevel"/>
    <w:tmpl w:val="2F74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B3602"/>
    <w:multiLevelType w:val="hybridMultilevel"/>
    <w:tmpl w:val="7136A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6365F"/>
    <w:multiLevelType w:val="hybridMultilevel"/>
    <w:tmpl w:val="104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B15FF"/>
    <w:multiLevelType w:val="hybridMultilevel"/>
    <w:tmpl w:val="FEC46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1B69"/>
    <w:multiLevelType w:val="hybridMultilevel"/>
    <w:tmpl w:val="9CCE0C4E"/>
    <w:lvl w:ilvl="0" w:tplc="0BD0954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78B1"/>
    <w:multiLevelType w:val="hybridMultilevel"/>
    <w:tmpl w:val="CC6E27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93C26"/>
    <w:multiLevelType w:val="hybridMultilevel"/>
    <w:tmpl w:val="5B0AE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B287A"/>
    <w:multiLevelType w:val="hybridMultilevel"/>
    <w:tmpl w:val="8684FD12"/>
    <w:lvl w:ilvl="0" w:tplc="E0B6234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F67C0"/>
    <w:multiLevelType w:val="hybridMultilevel"/>
    <w:tmpl w:val="EAF07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42F7"/>
    <w:multiLevelType w:val="hybridMultilevel"/>
    <w:tmpl w:val="F580C012"/>
    <w:lvl w:ilvl="0" w:tplc="56289912">
      <w:start w:val="1"/>
      <w:numFmt w:val="bullet"/>
      <w:lvlText w:val=""/>
      <w:lvlJc w:val="left"/>
      <w:pPr>
        <w:tabs>
          <w:tab w:val="num" w:pos="720"/>
        </w:tabs>
        <w:ind w:left="720" w:hanging="360"/>
      </w:pPr>
      <w:rPr>
        <w:rFonts w:ascii="Wingdings" w:hAnsi="Wingdings" w:hint="default"/>
      </w:rPr>
    </w:lvl>
    <w:lvl w:ilvl="1" w:tplc="CC1E2D18">
      <w:start w:val="59"/>
      <w:numFmt w:val="bullet"/>
      <w:lvlText w:val=""/>
      <w:lvlJc w:val="left"/>
      <w:pPr>
        <w:tabs>
          <w:tab w:val="num" w:pos="1440"/>
        </w:tabs>
        <w:ind w:left="1440" w:hanging="360"/>
      </w:pPr>
      <w:rPr>
        <w:rFonts w:ascii="Wingdings" w:hAnsi="Wingdings" w:hint="default"/>
      </w:rPr>
    </w:lvl>
    <w:lvl w:ilvl="2" w:tplc="64AA60C8">
      <w:start w:val="59"/>
      <w:numFmt w:val="bullet"/>
      <w:lvlText w:val=""/>
      <w:lvlJc w:val="left"/>
      <w:pPr>
        <w:tabs>
          <w:tab w:val="num" w:pos="2160"/>
        </w:tabs>
        <w:ind w:left="2160" w:hanging="360"/>
      </w:pPr>
      <w:rPr>
        <w:rFonts w:ascii="Wingdings" w:hAnsi="Wingdings" w:hint="default"/>
      </w:rPr>
    </w:lvl>
    <w:lvl w:ilvl="3" w:tplc="62D606E8" w:tentative="1">
      <w:start w:val="1"/>
      <w:numFmt w:val="bullet"/>
      <w:lvlText w:val=""/>
      <w:lvlJc w:val="left"/>
      <w:pPr>
        <w:tabs>
          <w:tab w:val="num" w:pos="2880"/>
        </w:tabs>
        <w:ind w:left="2880" w:hanging="360"/>
      </w:pPr>
      <w:rPr>
        <w:rFonts w:ascii="Wingdings" w:hAnsi="Wingdings" w:hint="default"/>
      </w:rPr>
    </w:lvl>
    <w:lvl w:ilvl="4" w:tplc="74848420" w:tentative="1">
      <w:start w:val="1"/>
      <w:numFmt w:val="bullet"/>
      <w:lvlText w:val=""/>
      <w:lvlJc w:val="left"/>
      <w:pPr>
        <w:tabs>
          <w:tab w:val="num" w:pos="3600"/>
        </w:tabs>
        <w:ind w:left="3600" w:hanging="360"/>
      </w:pPr>
      <w:rPr>
        <w:rFonts w:ascii="Wingdings" w:hAnsi="Wingdings" w:hint="default"/>
      </w:rPr>
    </w:lvl>
    <w:lvl w:ilvl="5" w:tplc="2BFEF678" w:tentative="1">
      <w:start w:val="1"/>
      <w:numFmt w:val="bullet"/>
      <w:lvlText w:val=""/>
      <w:lvlJc w:val="left"/>
      <w:pPr>
        <w:tabs>
          <w:tab w:val="num" w:pos="4320"/>
        </w:tabs>
        <w:ind w:left="4320" w:hanging="360"/>
      </w:pPr>
      <w:rPr>
        <w:rFonts w:ascii="Wingdings" w:hAnsi="Wingdings" w:hint="default"/>
      </w:rPr>
    </w:lvl>
    <w:lvl w:ilvl="6" w:tplc="F6781B8E" w:tentative="1">
      <w:start w:val="1"/>
      <w:numFmt w:val="bullet"/>
      <w:lvlText w:val=""/>
      <w:lvlJc w:val="left"/>
      <w:pPr>
        <w:tabs>
          <w:tab w:val="num" w:pos="5040"/>
        </w:tabs>
        <w:ind w:left="5040" w:hanging="360"/>
      </w:pPr>
      <w:rPr>
        <w:rFonts w:ascii="Wingdings" w:hAnsi="Wingdings" w:hint="default"/>
      </w:rPr>
    </w:lvl>
    <w:lvl w:ilvl="7" w:tplc="7C8A518C" w:tentative="1">
      <w:start w:val="1"/>
      <w:numFmt w:val="bullet"/>
      <w:lvlText w:val=""/>
      <w:lvlJc w:val="left"/>
      <w:pPr>
        <w:tabs>
          <w:tab w:val="num" w:pos="5760"/>
        </w:tabs>
        <w:ind w:left="5760" w:hanging="360"/>
      </w:pPr>
      <w:rPr>
        <w:rFonts w:ascii="Wingdings" w:hAnsi="Wingdings" w:hint="default"/>
      </w:rPr>
    </w:lvl>
    <w:lvl w:ilvl="8" w:tplc="D3D88A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B2846"/>
    <w:multiLevelType w:val="hybridMultilevel"/>
    <w:tmpl w:val="7FB0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267BD"/>
    <w:multiLevelType w:val="hybridMultilevel"/>
    <w:tmpl w:val="368A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C5C19"/>
    <w:multiLevelType w:val="hybridMultilevel"/>
    <w:tmpl w:val="C6B2549E"/>
    <w:lvl w:ilvl="0" w:tplc="9AC2A9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F3591"/>
    <w:multiLevelType w:val="hybridMultilevel"/>
    <w:tmpl w:val="7766F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85666"/>
    <w:multiLevelType w:val="hybridMultilevel"/>
    <w:tmpl w:val="3BC8D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F7098"/>
    <w:multiLevelType w:val="hybridMultilevel"/>
    <w:tmpl w:val="8612D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D649D"/>
    <w:multiLevelType w:val="hybridMultilevel"/>
    <w:tmpl w:val="72E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94097"/>
    <w:multiLevelType w:val="hybridMultilevel"/>
    <w:tmpl w:val="419E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D6797"/>
    <w:multiLevelType w:val="hybridMultilevel"/>
    <w:tmpl w:val="A3243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07556"/>
    <w:multiLevelType w:val="hybridMultilevel"/>
    <w:tmpl w:val="4FCEF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95F4D"/>
    <w:multiLevelType w:val="hybridMultilevel"/>
    <w:tmpl w:val="E3A8596A"/>
    <w:lvl w:ilvl="0" w:tplc="1A520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4"/>
  </w:num>
  <w:num w:numId="4">
    <w:abstractNumId w:val="7"/>
  </w:num>
  <w:num w:numId="5">
    <w:abstractNumId w:val="10"/>
  </w:num>
  <w:num w:numId="6">
    <w:abstractNumId w:val="1"/>
  </w:num>
  <w:num w:numId="7">
    <w:abstractNumId w:val="18"/>
  </w:num>
  <w:num w:numId="8">
    <w:abstractNumId w:val="9"/>
  </w:num>
  <w:num w:numId="9">
    <w:abstractNumId w:val="12"/>
  </w:num>
  <w:num w:numId="10">
    <w:abstractNumId w:val="2"/>
  </w:num>
  <w:num w:numId="11">
    <w:abstractNumId w:val="14"/>
  </w:num>
  <w:num w:numId="12">
    <w:abstractNumId w:val="16"/>
  </w:num>
  <w:num w:numId="13">
    <w:abstractNumId w:val="19"/>
  </w:num>
  <w:num w:numId="14">
    <w:abstractNumId w:val="8"/>
  </w:num>
  <w:num w:numId="15">
    <w:abstractNumId w:val="6"/>
  </w:num>
  <w:num w:numId="16">
    <w:abstractNumId w:val="0"/>
  </w:num>
  <w:num w:numId="17">
    <w:abstractNumId w:val="5"/>
  </w:num>
  <w:num w:numId="18">
    <w:abstractNumId w:val="20"/>
  </w:num>
  <w:num w:numId="19">
    <w:abstractNumId w:val="17"/>
  </w:num>
  <w:num w:numId="20">
    <w:abstractNumId w:val="21"/>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19"/>
    <w:rsid w:val="000002FF"/>
    <w:rsid w:val="00002853"/>
    <w:rsid w:val="0003404D"/>
    <w:rsid w:val="0003736F"/>
    <w:rsid w:val="000444BD"/>
    <w:rsid w:val="00052412"/>
    <w:rsid w:val="00054549"/>
    <w:rsid w:val="00064371"/>
    <w:rsid w:val="00065B94"/>
    <w:rsid w:val="000A3BC9"/>
    <w:rsid w:val="000D00DE"/>
    <w:rsid w:val="000D473B"/>
    <w:rsid w:val="000E07FC"/>
    <w:rsid w:val="000F1104"/>
    <w:rsid w:val="000F1AA4"/>
    <w:rsid w:val="00156845"/>
    <w:rsid w:val="00170FD0"/>
    <w:rsid w:val="0017385C"/>
    <w:rsid w:val="001739DB"/>
    <w:rsid w:val="001972C5"/>
    <w:rsid w:val="001D2952"/>
    <w:rsid w:val="001E7B48"/>
    <w:rsid w:val="00222B45"/>
    <w:rsid w:val="0024526B"/>
    <w:rsid w:val="00251D9E"/>
    <w:rsid w:val="002D4738"/>
    <w:rsid w:val="002D7D30"/>
    <w:rsid w:val="00305763"/>
    <w:rsid w:val="003132C1"/>
    <w:rsid w:val="00331317"/>
    <w:rsid w:val="00332B6E"/>
    <w:rsid w:val="003538C6"/>
    <w:rsid w:val="003724AF"/>
    <w:rsid w:val="003B2E34"/>
    <w:rsid w:val="003C4C9B"/>
    <w:rsid w:val="00450414"/>
    <w:rsid w:val="004547A7"/>
    <w:rsid w:val="004629B1"/>
    <w:rsid w:val="00484383"/>
    <w:rsid w:val="0048705E"/>
    <w:rsid w:val="00493D96"/>
    <w:rsid w:val="00495947"/>
    <w:rsid w:val="004B369E"/>
    <w:rsid w:val="004C3332"/>
    <w:rsid w:val="004E47BD"/>
    <w:rsid w:val="004E5062"/>
    <w:rsid w:val="004F209B"/>
    <w:rsid w:val="0051549C"/>
    <w:rsid w:val="00536FFA"/>
    <w:rsid w:val="0054296F"/>
    <w:rsid w:val="00566FDC"/>
    <w:rsid w:val="00592E00"/>
    <w:rsid w:val="00596DC9"/>
    <w:rsid w:val="005B2A16"/>
    <w:rsid w:val="005C06A3"/>
    <w:rsid w:val="006046DD"/>
    <w:rsid w:val="0062536B"/>
    <w:rsid w:val="006B314A"/>
    <w:rsid w:val="006D4316"/>
    <w:rsid w:val="006D4C07"/>
    <w:rsid w:val="006E492A"/>
    <w:rsid w:val="006E5D27"/>
    <w:rsid w:val="006F6372"/>
    <w:rsid w:val="00705D89"/>
    <w:rsid w:val="00711A58"/>
    <w:rsid w:val="00734F19"/>
    <w:rsid w:val="00743A6B"/>
    <w:rsid w:val="007A680C"/>
    <w:rsid w:val="007C76F0"/>
    <w:rsid w:val="007D2821"/>
    <w:rsid w:val="007F5E90"/>
    <w:rsid w:val="00802028"/>
    <w:rsid w:val="00812B92"/>
    <w:rsid w:val="00814D20"/>
    <w:rsid w:val="00831F55"/>
    <w:rsid w:val="008C4140"/>
    <w:rsid w:val="00907656"/>
    <w:rsid w:val="00933353"/>
    <w:rsid w:val="0093790D"/>
    <w:rsid w:val="009433D8"/>
    <w:rsid w:val="00955263"/>
    <w:rsid w:val="009C7523"/>
    <w:rsid w:val="00A00C32"/>
    <w:rsid w:val="00A104F0"/>
    <w:rsid w:val="00A53B84"/>
    <w:rsid w:val="00A729EC"/>
    <w:rsid w:val="00A76AE4"/>
    <w:rsid w:val="00A777C7"/>
    <w:rsid w:val="00A93D8C"/>
    <w:rsid w:val="00A95265"/>
    <w:rsid w:val="00AA190E"/>
    <w:rsid w:val="00AA1DF2"/>
    <w:rsid w:val="00AB2E3C"/>
    <w:rsid w:val="00AB4FDD"/>
    <w:rsid w:val="00AD3680"/>
    <w:rsid w:val="00AE6D25"/>
    <w:rsid w:val="00AF7815"/>
    <w:rsid w:val="00B01474"/>
    <w:rsid w:val="00B5319D"/>
    <w:rsid w:val="00B66472"/>
    <w:rsid w:val="00B77CDB"/>
    <w:rsid w:val="00B926E0"/>
    <w:rsid w:val="00BA656D"/>
    <w:rsid w:val="00BB0C99"/>
    <w:rsid w:val="00BE38B5"/>
    <w:rsid w:val="00BF3B20"/>
    <w:rsid w:val="00C00269"/>
    <w:rsid w:val="00C1064E"/>
    <w:rsid w:val="00C50B88"/>
    <w:rsid w:val="00C60B50"/>
    <w:rsid w:val="00C845BA"/>
    <w:rsid w:val="00CB2301"/>
    <w:rsid w:val="00CB7C34"/>
    <w:rsid w:val="00CC2556"/>
    <w:rsid w:val="00CC6B77"/>
    <w:rsid w:val="00CF3DE4"/>
    <w:rsid w:val="00D10068"/>
    <w:rsid w:val="00D15472"/>
    <w:rsid w:val="00D20EA2"/>
    <w:rsid w:val="00D22A1E"/>
    <w:rsid w:val="00D51FA2"/>
    <w:rsid w:val="00D57445"/>
    <w:rsid w:val="00D753C2"/>
    <w:rsid w:val="00D86349"/>
    <w:rsid w:val="00DA05F6"/>
    <w:rsid w:val="00DA4403"/>
    <w:rsid w:val="00DC2293"/>
    <w:rsid w:val="00DD4A17"/>
    <w:rsid w:val="00DF2945"/>
    <w:rsid w:val="00DF4967"/>
    <w:rsid w:val="00DF77C1"/>
    <w:rsid w:val="00E221A0"/>
    <w:rsid w:val="00E24EAB"/>
    <w:rsid w:val="00E317F3"/>
    <w:rsid w:val="00E371C5"/>
    <w:rsid w:val="00E6389B"/>
    <w:rsid w:val="00EC735B"/>
    <w:rsid w:val="00F03A22"/>
    <w:rsid w:val="00F139C6"/>
    <w:rsid w:val="00F20E36"/>
    <w:rsid w:val="00F4162C"/>
    <w:rsid w:val="00F4167F"/>
    <w:rsid w:val="00F72DCB"/>
    <w:rsid w:val="00F90E5B"/>
    <w:rsid w:val="00F9393F"/>
    <w:rsid w:val="00FB4DAC"/>
    <w:rsid w:val="00FC738E"/>
    <w:rsid w:val="00FD4F83"/>
    <w:rsid w:val="00FF2661"/>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C038"/>
  <w15:chartTrackingRefBased/>
  <w15:docId w15:val="{914CCEF1-95A6-4CBA-BF3A-8E5BDE4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F19"/>
  </w:style>
  <w:style w:type="paragraph" w:styleId="Heading1">
    <w:name w:val="heading 1"/>
    <w:basedOn w:val="Normal"/>
    <w:next w:val="Normal"/>
    <w:link w:val="Heading1Char"/>
    <w:uiPriority w:val="9"/>
    <w:qFormat/>
    <w:rsid w:val="00F72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2D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F19"/>
    <w:pPr>
      <w:ind w:left="720"/>
      <w:contextualSpacing/>
    </w:pPr>
  </w:style>
  <w:style w:type="table" w:styleId="TableGrid">
    <w:name w:val="Table Grid"/>
    <w:basedOn w:val="TableNormal"/>
    <w:uiPriority w:val="39"/>
    <w:rsid w:val="0073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F19"/>
    <w:rPr>
      <w:color w:val="0563C1" w:themeColor="hyperlink"/>
      <w:u w:val="single"/>
    </w:rPr>
  </w:style>
  <w:style w:type="paragraph" w:styleId="Footer">
    <w:name w:val="footer"/>
    <w:basedOn w:val="Normal"/>
    <w:link w:val="FooterChar"/>
    <w:uiPriority w:val="99"/>
    <w:unhideWhenUsed/>
    <w:rsid w:val="0073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F19"/>
  </w:style>
  <w:style w:type="paragraph" w:styleId="BalloonText">
    <w:name w:val="Balloon Text"/>
    <w:basedOn w:val="Normal"/>
    <w:link w:val="BalloonTextChar"/>
    <w:uiPriority w:val="99"/>
    <w:semiHidden/>
    <w:unhideWhenUsed/>
    <w:rsid w:val="00DF4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67"/>
    <w:rPr>
      <w:rFonts w:ascii="Segoe UI" w:hAnsi="Segoe UI" w:cs="Segoe UI"/>
      <w:sz w:val="18"/>
      <w:szCs w:val="18"/>
    </w:rPr>
  </w:style>
  <w:style w:type="paragraph" w:styleId="Header">
    <w:name w:val="header"/>
    <w:basedOn w:val="Normal"/>
    <w:link w:val="HeaderChar"/>
    <w:uiPriority w:val="99"/>
    <w:unhideWhenUsed/>
    <w:rsid w:val="00907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56"/>
  </w:style>
  <w:style w:type="character" w:styleId="CommentReference">
    <w:name w:val="annotation reference"/>
    <w:basedOn w:val="DefaultParagraphFont"/>
    <w:uiPriority w:val="99"/>
    <w:semiHidden/>
    <w:unhideWhenUsed/>
    <w:rsid w:val="00A76AE4"/>
    <w:rPr>
      <w:sz w:val="16"/>
      <w:szCs w:val="16"/>
    </w:rPr>
  </w:style>
  <w:style w:type="paragraph" w:styleId="CommentText">
    <w:name w:val="annotation text"/>
    <w:basedOn w:val="Normal"/>
    <w:link w:val="CommentTextChar"/>
    <w:uiPriority w:val="99"/>
    <w:semiHidden/>
    <w:unhideWhenUsed/>
    <w:rsid w:val="00A76AE4"/>
    <w:pPr>
      <w:spacing w:line="240" w:lineRule="auto"/>
    </w:pPr>
    <w:rPr>
      <w:sz w:val="20"/>
      <w:szCs w:val="20"/>
    </w:rPr>
  </w:style>
  <w:style w:type="character" w:customStyle="1" w:styleId="CommentTextChar">
    <w:name w:val="Comment Text Char"/>
    <w:basedOn w:val="DefaultParagraphFont"/>
    <w:link w:val="CommentText"/>
    <w:uiPriority w:val="99"/>
    <w:semiHidden/>
    <w:rsid w:val="00A76AE4"/>
    <w:rPr>
      <w:sz w:val="20"/>
      <w:szCs w:val="20"/>
    </w:rPr>
  </w:style>
  <w:style w:type="paragraph" w:styleId="CommentSubject">
    <w:name w:val="annotation subject"/>
    <w:basedOn w:val="CommentText"/>
    <w:next w:val="CommentText"/>
    <w:link w:val="CommentSubjectChar"/>
    <w:uiPriority w:val="99"/>
    <w:semiHidden/>
    <w:unhideWhenUsed/>
    <w:rsid w:val="00A76AE4"/>
    <w:rPr>
      <w:b/>
      <w:bCs/>
    </w:rPr>
  </w:style>
  <w:style w:type="character" w:customStyle="1" w:styleId="CommentSubjectChar">
    <w:name w:val="Comment Subject Char"/>
    <w:basedOn w:val="CommentTextChar"/>
    <w:link w:val="CommentSubject"/>
    <w:uiPriority w:val="99"/>
    <w:semiHidden/>
    <w:rsid w:val="00A76AE4"/>
    <w:rPr>
      <w:b/>
      <w:bCs/>
      <w:sz w:val="20"/>
      <w:szCs w:val="20"/>
    </w:rPr>
  </w:style>
  <w:style w:type="paragraph" w:styleId="NormalWeb">
    <w:name w:val="Normal (Web)"/>
    <w:basedOn w:val="Normal"/>
    <w:uiPriority w:val="99"/>
    <w:unhideWhenUsed/>
    <w:rsid w:val="00F139C6"/>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9"/>
    <w:rsid w:val="00F72DC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72D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5922">
      <w:bodyDiv w:val="1"/>
      <w:marLeft w:val="0"/>
      <w:marRight w:val="0"/>
      <w:marTop w:val="0"/>
      <w:marBottom w:val="0"/>
      <w:divBdr>
        <w:top w:val="none" w:sz="0" w:space="0" w:color="auto"/>
        <w:left w:val="none" w:sz="0" w:space="0" w:color="auto"/>
        <w:bottom w:val="none" w:sz="0" w:space="0" w:color="auto"/>
        <w:right w:val="none" w:sz="0" w:space="0" w:color="auto"/>
      </w:divBdr>
      <w:divsChild>
        <w:div w:id="100154207">
          <w:marLeft w:val="1080"/>
          <w:marRight w:val="0"/>
          <w:marTop w:val="137"/>
          <w:marBottom w:val="0"/>
          <w:divBdr>
            <w:top w:val="none" w:sz="0" w:space="0" w:color="auto"/>
            <w:left w:val="none" w:sz="0" w:space="0" w:color="auto"/>
            <w:bottom w:val="none" w:sz="0" w:space="0" w:color="auto"/>
            <w:right w:val="none" w:sz="0" w:space="0" w:color="auto"/>
          </w:divBdr>
        </w:div>
        <w:div w:id="145629885">
          <w:marLeft w:val="1800"/>
          <w:marRight w:val="0"/>
          <w:marTop w:val="108"/>
          <w:marBottom w:val="0"/>
          <w:divBdr>
            <w:top w:val="none" w:sz="0" w:space="0" w:color="auto"/>
            <w:left w:val="none" w:sz="0" w:space="0" w:color="auto"/>
            <w:bottom w:val="none" w:sz="0" w:space="0" w:color="auto"/>
            <w:right w:val="none" w:sz="0" w:space="0" w:color="auto"/>
          </w:divBdr>
        </w:div>
        <w:div w:id="165217778">
          <w:marLeft w:val="1800"/>
          <w:marRight w:val="0"/>
          <w:marTop w:val="108"/>
          <w:marBottom w:val="0"/>
          <w:divBdr>
            <w:top w:val="none" w:sz="0" w:space="0" w:color="auto"/>
            <w:left w:val="none" w:sz="0" w:space="0" w:color="auto"/>
            <w:bottom w:val="none" w:sz="0" w:space="0" w:color="auto"/>
            <w:right w:val="none" w:sz="0" w:space="0" w:color="auto"/>
          </w:divBdr>
        </w:div>
        <w:div w:id="315571082">
          <w:marLeft w:val="1800"/>
          <w:marRight w:val="0"/>
          <w:marTop w:val="108"/>
          <w:marBottom w:val="0"/>
          <w:divBdr>
            <w:top w:val="none" w:sz="0" w:space="0" w:color="auto"/>
            <w:left w:val="none" w:sz="0" w:space="0" w:color="auto"/>
            <w:bottom w:val="none" w:sz="0" w:space="0" w:color="auto"/>
            <w:right w:val="none" w:sz="0" w:space="0" w:color="auto"/>
          </w:divBdr>
        </w:div>
        <w:div w:id="503278380">
          <w:marLeft w:val="1800"/>
          <w:marRight w:val="0"/>
          <w:marTop w:val="108"/>
          <w:marBottom w:val="0"/>
          <w:divBdr>
            <w:top w:val="none" w:sz="0" w:space="0" w:color="auto"/>
            <w:left w:val="none" w:sz="0" w:space="0" w:color="auto"/>
            <w:bottom w:val="none" w:sz="0" w:space="0" w:color="auto"/>
            <w:right w:val="none" w:sz="0" w:space="0" w:color="auto"/>
          </w:divBdr>
        </w:div>
        <w:div w:id="633875400">
          <w:marLeft w:val="1800"/>
          <w:marRight w:val="0"/>
          <w:marTop w:val="108"/>
          <w:marBottom w:val="0"/>
          <w:divBdr>
            <w:top w:val="none" w:sz="0" w:space="0" w:color="auto"/>
            <w:left w:val="none" w:sz="0" w:space="0" w:color="auto"/>
            <w:bottom w:val="none" w:sz="0" w:space="0" w:color="auto"/>
            <w:right w:val="none" w:sz="0" w:space="0" w:color="auto"/>
          </w:divBdr>
        </w:div>
        <w:div w:id="1040937480">
          <w:marLeft w:val="1080"/>
          <w:marRight w:val="0"/>
          <w:marTop w:val="137"/>
          <w:marBottom w:val="0"/>
          <w:divBdr>
            <w:top w:val="none" w:sz="0" w:space="0" w:color="auto"/>
            <w:left w:val="none" w:sz="0" w:space="0" w:color="auto"/>
            <w:bottom w:val="none" w:sz="0" w:space="0" w:color="auto"/>
            <w:right w:val="none" w:sz="0" w:space="0" w:color="auto"/>
          </w:divBdr>
        </w:div>
        <w:div w:id="1274510307">
          <w:marLeft w:val="360"/>
          <w:marRight w:val="0"/>
          <w:marTop w:val="158"/>
          <w:marBottom w:val="0"/>
          <w:divBdr>
            <w:top w:val="none" w:sz="0" w:space="0" w:color="auto"/>
            <w:left w:val="none" w:sz="0" w:space="0" w:color="auto"/>
            <w:bottom w:val="none" w:sz="0" w:space="0" w:color="auto"/>
            <w:right w:val="none" w:sz="0" w:space="0" w:color="auto"/>
          </w:divBdr>
        </w:div>
        <w:div w:id="1466972975">
          <w:marLeft w:val="360"/>
          <w:marRight w:val="0"/>
          <w:marTop w:val="158"/>
          <w:marBottom w:val="0"/>
          <w:divBdr>
            <w:top w:val="none" w:sz="0" w:space="0" w:color="auto"/>
            <w:left w:val="none" w:sz="0" w:space="0" w:color="auto"/>
            <w:bottom w:val="none" w:sz="0" w:space="0" w:color="auto"/>
            <w:right w:val="none" w:sz="0" w:space="0" w:color="auto"/>
          </w:divBdr>
        </w:div>
        <w:div w:id="1486974763">
          <w:marLeft w:val="1800"/>
          <w:marRight w:val="0"/>
          <w:marTop w:val="108"/>
          <w:marBottom w:val="0"/>
          <w:divBdr>
            <w:top w:val="none" w:sz="0" w:space="0" w:color="auto"/>
            <w:left w:val="none" w:sz="0" w:space="0" w:color="auto"/>
            <w:bottom w:val="none" w:sz="0" w:space="0" w:color="auto"/>
            <w:right w:val="none" w:sz="0" w:space="0" w:color="auto"/>
          </w:divBdr>
        </w:div>
        <w:div w:id="1554384157">
          <w:marLeft w:val="1800"/>
          <w:marRight w:val="0"/>
          <w:marTop w:val="108"/>
          <w:marBottom w:val="0"/>
          <w:divBdr>
            <w:top w:val="none" w:sz="0" w:space="0" w:color="auto"/>
            <w:left w:val="none" w:sz="0" w:space="0" w:color="auto"/>
            <w:bottom w:val="none" w:sz="0" w:space="0" w:color="auto"/>
            <w:right w:val="none" w:sz="0" w:space="0" w:color="auto"/>
          </w:divBdr>
        </w:div>
        <w:div w:id="1664970618">
          <w:marLeft w:val="1800"/>
          <w:marRight w:val="0"/>
          <w:marTop w:val="108"/>
          <w:marBottom w:val="0"/>
          <w:divBdr>
            <w:top w:val="none" w:sz="0" w:space="0" w:color="auto"/>
            <w:left w:val="none" w:sz="0" w:space="0" w:color="auto"/>
            <w:bottom w:val="none" w:sz="0" w:space="0" w:color="auto"/>
            <w:right w:val="none" w:sz="0" w:space="0" w:color="auto"/>
          </w:divBdr>
        </w:div>
        <w:div w:id="1867938909">
          <w:marLeft w:val="1080"/>
          <w:marRight w:val="0"/>
          <w:marTop w:val="137"/>
          <w:marBottom w:val="0"/>
          <w:divBdr>
            <w:top w:val="none" w:sz="0" w:space="0" w:color="auto"/>
            <w:left w:val="none" w:sz="0" w:space="0" w:color="auto"/>
            <w:bottom w:val="none" w:sz="0" w:space="0" w:color="auto"/>
            <w:right w:val="none" w:sz="0" w:space="0" w:color="auto"/>
          </w:divBdr>
        </w:div>
        <w:div w:id="1951162755">
          <w:marLeft w:val="1080"/>
          <w:marRight w:val="0"/>
          <w:marTop w:val="137"/>
          <w:marBottom w:val="0"/>
          <w:divBdr>
            <w:top w:val="none" w:sz="0" w:space="0" w:color="auto"/>
            <w:left w:val="none" w:sz="0" w:space="0" w:color="auto"/>
            <w:bottom w:val="none" w:sz="0" w:space="0" w:color="auto"/>
            <w:right w:val="none" w:sz="0" w:space="0" w:color="auto"/>
          </w:divBdr>
        </w:div>
        <w:div w:id="2007129297">
          <w:marLeft w:val="1800"/>
          <w:marRight w:val="0"/>
          <w:marTop w:val="108"/>
          <w:marBottom w:val="0"/>
          <w:divBdr>
            <w:top w:val="none" w:sz="0" w:space="0" w:color="auto"/>
            <w:left w:val="none" w:sz="0" w:space="0" w:color="auto"/>
            <w:bottom w:val="none" w:sz="0" w:space="0" w:color="auto"/>
            <w:right w:val="none" w:sz="0" w:space="0" w:color="auto"/>
          </w:divBdr>
        </w:div>
        <w:div w:id="2029065124">
          <w:marLeft w:val="1080"/>
          <w:marRight w:val="0"/>
          <w:marTop w:val="137"/>
          <w:marBottom w:val="0"/>
          <w:divBdr>
            <w:top w:val="none" w:sz="0" w:space="0" w:color="auto"/>
            <w:left w:val="none" w:sz="0" w:space="0" w:color="auto"/>
            <w:bottom w:val="none" w:sz="0" w:space="0" w:color="auto"/>
            <w:right w:val="none" w:sz="0" w:space="0" w:color="auto"/>
          </w:divBdr>
        </w:div>
        <w:div w:id="2045519081">
          <w:marLeft w:val="1080"/>
          <w:marRight w:val="0"/>
          <w:marTop w:val="137"/>
          <w:marBottom w:val="0"/>
          <w:divBdr>
            <w:top w:val="none" w:sz="0" w:space="0" w:color="auto"/>
            <w:left w:val="none" w:sz="0" w:space="0" w:color="auto"/>
            <w:bottom w:val="none" w:sz="0" w:space="0" w:color="auto"/>
            <w:right w:val="none" w:sz="0" w:space="0" w:color="auto"/>
          </w:divBdr>
        </w:div>
      </w:divsChild>
    </w:div>
    <w:div w:id="500436806">
      <w:bodyDiv w:val="1"/>
      <w:marLeft w:val="0"/>
      <w:marRight w:val="0"/>
      <w:marTop w:val="0"/>
      <w:marBottom w:val="0"/>
      <w:divBdr>
        <w:top w:val="none" w:sz="0" w:space="0" w:color="auto"/>
        <w:left w:val="none" w:sz="0" w:space="0" w:color="auto"/>
        <w:bottom w:val="none" w:sz="0" w:space="0" w:color="auto"/>
        <w:right w:val="none" w:sz="0" w:space="0" w:color="auto"/>
      </w:divBdr>
    </w:div>
    <w:div w:id="514341994">
      <w:bodyDiv w:val="1"/>
      <w:marLeft w:val="0"/>
      <w:marRight w:val="0"/>
      <w:marTop w:val="0"/>
      <w:marBottom w:val="0"/>
      <w:divBdr>
        <w:top w:val="none" w:sz="0" w:space="0" w:color="auto"/>
        <w:left w:val="none" w:sz="0" w:space="0" w:color="auto"/>
        <w:bottom w:val="none" w:sz="0" w:space="0" w:color="auto"/>
        <w:right w:val="none" w:sz="0" w:space="0" w:color="auto"/>
      </w:divBdr>
    </w:div>
    <w:div w:id="685787398">
      <w:bodyDiv w:val="1"/>
      <w:marLeft w:val="0"/>
      <w:marRight w:val="0"/>
      <w:marTop w:val="0"/>
      <w:marBottom w:val="0"/>
      <w:divBdr>
        <w:top w:val="none" w:sz="0" w:space="0" w:color="auto"/>
        <w:left w:val="none" w:sz="0" w:space="0" w:color="auto"/>
        <w:bottom w:val="none" w:sz="0" w:space="0" w:color="auto"/>
        <w:right w:val="none" w:sz="0" w:space="0" w:color="auto"/>
      </w:divBdr>
    </w:div>
    <w:div w:id="951016767">
      <w:bodyDiv w:val="1"/>
      <w:marLeft w:val="0"/>
      <w:marRight w:val="0"/>
      <w:marTop w:val="0"/>
      <w:marBottom w:val="0"/>
      <w:divBdr>
        <w:top w:val="none" w:sz="0" w:space="0" w:color="auto"/>
        <w:left w:val="none" w:sz="0" w:space="0" w:color="auto"/>
        <w:bottom w:val="none" w:sz="0" w:space="0" w:color="auto"/>
        <w:right w:val="none" w:sz="0" w:space="0" w:color="auto"/>
      </w:divBdr>
    </w:div>
    <w:div w:id="1585529280">
      <w:bodyDiv w:val="1"/>
      <w:marLeft w:val="0"/>
      <w:marRight w:val="0"/>
      <w:marTop w:val="0"/>
      <w:marBottom w:val="0"/>
      <w:divBdr>
        <w:top w:val="none" w:sz="0" w:space="0" w:color="auto"/>
        <w:left w:val="none" w:sz="0" w:space="0" w:color="auto"/>
        <w:bottom w:val="none" w:sz="0" w:space="0" w:color="auto"/>
        <w:right w:val="none" w:sz="0" w:space="0" w:color="auto"/>
      </w:divBdr>
    </w:div>
    <w:div w:id="1986469718">
      <w:bodyDiv w:val="1"/>
      <w:marLeft w:val="0"/>
      <w:marRight w:val="0"/>
      <w:marTop w:val="0"/>
      <w:marBottom w:val="0"/>
      <w:divBdr>
        <w:top w:val="none" w:sz="0" w:space="0" w:color="auto"/>
        <w:left w:val="none" w:sz="0" w:space="0" w:color="auto"/>
        <w:bottom w:val="none" w:sz="0" w:space="0" w:color="auto"/>
        <w:right w:val="none" w:sz="0" w:space="0" w:color="auto"/>
      </w:divBdr>
    </w:div>
    <w:div w:id="2046171902">
      <w:bodyDiv w:val="1"/>
      <w:marLeft w:val="0"/>
      <w:marRight w:val="0"/>
      <w:marTop w:val="0"/>
      <w:marBottom w:val="0"/>
      <w:divBdr>
        <w:top w:val="none" w:sz="0" w:space="0" w:color="auto"/>
        <w:left w:val="none" w:sz="0" w:space="0" w:color="auto"/>
        <w:bottom w:val="none" w:sz="0" w:space="0" w:color="auto"/>
        <w:right w:val="none" w:sz="0" w:space="0" w:color="auto"/>
      </w:divBdr>
    </w:div>
    <w:div w:id="20726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yne.edu/assessment/files/_wsu_program_assessment_practices_feedback_rubric_2021061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yne.edu/assessment/progress" TargetMode="External"/><Relationship Id="rId5" Type="http://schemas.openxmlformats.org/officeDocument/2006/relationships/footnotes" Target="footnotes.xml"/><Relationship Id="rId10" Type="http://schemas.openxmlformats.org/officeDocument/2006/relationships/hyperlink" Target="https://wayne.edu/assessment"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 Percent of</a:t>
            </a:r>
            <a:r>
              <a:rPr lang="en-US" baseline="0"/>
              <a:t> Programs Receiving Overall Score of "Meets standards" or "Reflects best practices"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AY14-15</c:v>
                </c:pt>
                <c:pt idx="1">
                  <c:v>AY15-16</c:v>
                </c:pt>
                <c:pt idx="2">
                  <c:v>AY16-17</c:v>
                </c:pt>
                <c:pt idx="3">
                  <c:v>AY17-18</c:v>
                </c:pt>
                <c:pt idx="4">
                  <c:v>AY18-19</c:v>
                </c:pt>
                <c:pt idx="5">
                  <c:v>AY19-20</c:v>
                </c:pt>
              </c:strCache>
            </c:strRef>
          </c:cat>
          <c:val>
            <c:numRef>
              <c:f>Sheet1!$B$2:$B$7</c:f>
              <c:numCache>
                <c:formatCode>0%</c:formatCode>
                <c:ptCount val="6"/>
                <c:pt idx="0">
                  <c:v>0.23</c:v>
                </c:pt>
                <c:pt idx="1">
                  <c:v>0.34</c:v>
                </c:pt>
                <c:pt idx="2">
                  <c:v>0.39</c:v>
                </c:pt>
                <c:pt idx="3">
                  <c:v>0.4</c:v>
                </c:pt>
                <c:pt idx="4">
                  <c:v>0.49</c:v>
                </c:pt>
                <c:pt idx="5">
                  <c:v>0.45</c:v>
                </c:pt>
              </c:numCache>
            </c:numRef>
          </c:val>
          <c:extLst>
            <c:ext xmlns:c16="http://schemas.microsoft.com/office/drawing/2014/chart" uri="{C3380CC4-5D6E-409C-BE32-E72D297353CC}">
              <c16:uniqueId val="{00000000-1F7C-40D8-A8C0-980E691304E9}"/>
            </c:ext>
          </c:extLst>
        </c:ser>
        <c:dLbls>
          <c:showLegendKey val="0"/>
          <c:showVal val="0"/>
          <c:showCatName val="0"/>
          <c:showSerName val="0"/>
          <c:showPercent val="0"/>
          <c:showBubbleSize val="0"/>
        </c:dLbls>
        <c:gapWidth val="219"/>
        <c:overlap val="-27"/>
        <c:axId val="515080344"/>
        <c:axId val="515084280"/>
      </c:barChart>
      <c:catAx>
        <c:axId val="515080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084280"/>
        <c:crosses val="autoZero"/>
        <c:auto val="1"/>
        <c:lblAlgn val="ctr"/>
        <c:lblOffset val="100"/>
        <c:noMultiLvlLbl val="0"/>
      </c:catAx>
      <c:valAx>
        <c:axId val="515084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080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solidFill>
                  <a:schemeClr val="accent5">
                    <a:lumMod val="75000"/>
                  </a:schemeClr>
                </a:solidFill>
                <a:effectLst/>
              </a:rPr>
              <a:t>Fig. 2: Wayne State University Assessment Practices Quality </a:t>
            </a:r>
          </a:p>
          <a:p>
            <a:pPr>
              <a:defRPr/>
            </a:pPr>
            <a:r>
              <a:rPr lang="en-US" sz="1400" b="1" i="0" u="none" strike="noStrike" baseline="0">
                <a:solidFill>
                  <a:schemeClr val="accent5">
                    <a:lumMod val="75000"/>
                  </a:schemeClr>
                </a:solidFill>
                <a:effectLst/>
              </a:rPr>
              <a:t>AY20-21</a:t>
            </a:r>
            <a:endParaRPr lang="en-US" sz="1400">
              <a:solidFill>
                <a:schemeClr val="accent5">
                  <a:lumMod val="75000"/>
                </a:schemeClr>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Sheet1!$C$1</c:f>
              <c:strCache>
                <c:ptCount val="1"/>
                <c:pt idx="0">
                  <c:v>AY19-20</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Overall</c:v>
                </c:pt>
                <c:pt idx="1">
                  <c:v>Report</c:v>
                </c:pt>
                <c:pt idx="2">
                  <c:v>Timeline</c:v>
                </c:pt>
                <c:pt idx="3">
                  <c:v>Action plan</c:v>
                </c:pt>
                <c:pt idx="4">
                  <c:v>Results</c:v>
                </c:pt>
                <c:pt idx="5">
                  <c:v>Method</c:v>
                </c:pt>
                <c:pt idx="6">
                  <c:v>Curriculum map</c:v>
                </c:pt>
                <c:pt idx="7">
                  <c:v>Learning outcomes</c:v>
                </c:pt>
                <c:pt idx="8">
                  <c:v>Mission statement</c:v>
                </c:pt>
              </c:strCache>
            </c:strRef>
          </c:cat>
          <c:val>
            <c:numRef>
              <c:f>Sheet1!$C$2:$C$10</c:f>
              <c:numCache>
                <c:formatCode>General</c:formatCode>
                <c:ptCount val="9"/>
                <c:pt idx="0">
                  <c:v>1.9</c:v>
                </c:pt>
                <c:pt idx="1">
                  <c:v>1.8</c:v>
                </c:pt>
                <c:pt idx="2">
                  <c:v>2.5</c:v>
                </c:pt>
                <c:pt idx="3">
                  <c:v>2.2999999999999998</c:v>
                </c:pt>
                <c:pt idx="4">
                  <c:v>2.5</c:v>
                </c:pt>
                <c:pt idx="5">
                  <c:v>2.4</c:v>
                </c:pt>
                <c:pt idx="6">
                  <c:v>2.1</c:v>
                </c:pt>
                <c:pt idx="7">
                  <c:v>2</c:v>
                </c:pt>
                <c:pt idx="8">
                  <c:v>2.4</c:v>
                </c:pt>
              </c:numCache>
            </c:numRef>
          </c:val>
          <c:extLst>
            <c:ext xmlns:c16="http://schemas.microsoft.com/office/drawing/2014/chart" uri="{C3380CC4-5D6E-409C-BE32-E72D297353CC}">
              <c16:uniqueId val="{00000000-B383-47AF-B87D-2AC6BD7B03E2}"/>
            </c:ext>
          </c:extLst>
        </c:ser>
        <c:ser>
          <c:idx val="0"/>
          <c:order val="1"/>
          <c:tx>
            <c:strRef>
              <c:f>Sheet1!$B$1</c:f>
              <c:strCache>
                <c:ptCount val="1"/>
                <c:pt idx="0">
                  <c:v>AY20-21</c:v>
                </c:pt>
              </c:strCache>
            </c:strRef>
          </c:tx>
          <c:spPr>
            <a:solidFill>
              <a:schemeClr val="accent5">
                <a:lumMod val="40000"/>
                <a:lumOff val="60000"/>
              </a:schemeClr>
            </a:solidFill>
            <a:ln>
              <a:solidFill>
                <a:schemeClr val="accent1"/>
              </a:solidFill>
            </a:ln>
            <a:effectLst/>
          </c:spPr>
          <c:invertIfNegative val="0"/>
          <c:dPt>
            <c:idx val="0"/>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2-B383-47AF-B87D-2AC6BD7B03E2}"/>
              </c:ext>
            </c:extLst>
          </c:dPt>
          <c:dPt>
            <c:idx val="1"/>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4-B383-47AF-B87D-2AC6BD7B03E2}"/>
              </c:ext>
            </c:extLst>
          </c:dPt>
          <c:dPt>
            <c:idx val="2"/>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6-B383-47AF-B87D-2AC6BD7B03E2}"/>
              </c:ext>
            </c:extLst>
          </c:dPt>
          <c:dPt>
            <c:idx val="3"/>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8-B383-47AF-B87D-2AC6BD7B03E2}"/>
              </c:ext>
            </c:extLst>
          </c:dPt>
          <c:dPt>
            <c:idx val="4"/>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A-B383-47AF-B87D-2AC6BD7B03E2}"/>
              </c:ext>
            </c:extLst>
          </c:dPt>
          <c:dPt>
            <c:idx val="5"/>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C-B383-47AF-B87D-2AC6BD7B03E2}"/>
              </c:ext>
            </c:extLst>
          </c:dPt>
          <c:dPt>
            <c:idx val="6"/>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0E-B383-47AF-B87D-2AC6BD7B03E2}"/>
              </c:ext>
            </c:extLst>
          </c:dPt>
          <c:dPt>
            <c:idx val="7"/>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10-B383-47AF-B87D-2AC6BD7B03E2}"/>
              </c:ext>
            </c:extLst>
          </c:dPt>
          <c:dPt>
            <c:idx val="8"/>
            <c:invertIfNegative val="0"/>
            <c:bubble3D val="0"/>
            <c:spPr>
              <a:solidFill>
                <a:schemeClr val="accent5">
                  <a:lumMod val="40000"/>
                  <a:lumOff val="60000"/>
                </a:schemeClr>
              </a:solidFill>
              <a:ln>
                <a:solidFill>
                  <a:schemeClr val="accent1"/>
                </a:solidFill>
              </a:ln>
              <a:effectLst/>
            </c:spPr>
            <c:extLst>
              <c:ext xmlns:c16="http://schemas.microsoft.com/office/drawing/2014/chart" uri="{C3380CC4-5D6E-409C-BE32-E72D297353CC}">
                <c16:uniqueId val="{00000012-B383-47AF-B87D-2AC6BD7B03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Overall</c:v>
                </c:pt>
                <c:pt idx="1">
                  <c:v>Report</c:v>
                </c:pt>
                <c:pt idx="2">
                  <c:v>Timeline</c:v>
                </c:pt>
                <c:pt idx="3">
                  <c:v>Action plan</c:v>
                </c:pt>
                <c:pt idx="4">
                  <c:v>Results</c:v>
                </c:pt>
                <c:pt idx="5">
                  <c:v>Method</c:v>
                </c:pt>
                <c:pt idx="6">
                  <c:v>Curriculum map</c:v>
                </c:pt>
                <c:pt idx="7">
                  <c:v>Learning outcomes</c:v>
                </c:pt>
                <c:pt idx="8">
                  <c:v>Mission statement</c:v>
                </c:pt>
              </c:strCache>
            </c:strRef>
          </c:cat>
          <c:val>
            <c:numRef>
              <c:f>Sheet1!$B$2:$B$10</c:f>
              <c:numCache>
                <c:formatCode>General</c:formatCode>
                <c:ptCount val="9"/>
                <c:pt idx="0">
                  <c:v>1.7</c:v>
                </c:pt>
                <c:pt idx="1">
                  <c:v>1.8</c:v>
                </c:pt>
                <c:pt idx="2">
                  <c:v>2.4</c:v>
                </c:pt>
                <c:pt idx="3">
                  <c:v>2.1</c:v>
                </c:pt>
                <c:pt idx="4">
                  <c:v>2.2999999999999998</c:v>
                </c:pt>
                <c:pt idx="5">
                  <c:v>2.1</c:v>
                </c:pt>
                <c:pt idx="6">
                  <c:v>2.2000000000000002</c:v>
                </c:pt>
                <c:pt idx="7">
                  <c:v>2.1</c:v>
                </c:pt>
                <c:pt idx="8">
                  <c:v>2.6</c:v>
                </c:pt>
              </c:numCache>
            </c:numRef>
          </c:val>
          <c:extLst>
            <c:ext xmlns:c16="http://schemas.microsoft.com/office/drawing/2014/chart" uri="{C3380CC4-5D6E-409C-BE32-E72D297353CC}">
              <c16:uniqueId val="{00000013-B383-47AF-B87D-2AC6BD7B03E2}"/>
            </c:ext>
          </c:extLst>
        </c:ser>
        <c:dLbls>
          <c:showLegendKey val="0"/>
          <c:showVal val="0"/>
          <c:showCatName val="0"/>
          <c:showSerName val="0"/>
          <c:showPercent val="0"/>
          <c:showBubbleSize val="0"/>
        </c:dLbls>
        <c:gapWidth val="182"/>
        <c:axId val="105809800"/>
        <c:axId val="105810192"/>
      </c:barChart>
      <c:catAx>
        <c:axId val="1058098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10192"/>
        <c:crosses val="autoZero"/>
        <c:auto val="1"/>
        <c:lblAlgn val="ctr"/>
        <c:lblOffset val="100"/>
        <c:noMultiLvlLbl val="0"/>
      </c:catAx>
      <c:valAx>
        <c:axId val="105810192"/>
        <c:scaling>
          <c:orientation val="minMax"/>
          <c:max val="3"/>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solidFill>
                      <a:sysClr val="windowText" lastClr="000000"/>
                    </a:solidFill>
                    <a:effectLst/>
                  </a:rPr>
                  <a:t>Not submitted              </a:t>
                </a:r>
                <a:r>
                  <a:rPr lang="en-US" sz="1000" b="1" i="0" u="none" strike="noStrike" baseline="0">
                    <a:solidFill>
                      <a:srgbClr val="FF0000"/>
                    </a:solidFill>
                    <a:effectLst/>
                  </a:rPr>
                  <a:t>Needs development             </a:t>
                </a:r>
                <a:r>
                  <a:rPr lang="en-US" sz="1000" b="1" i="0" u="none" strike="noStrike" baseline="0">
                    <a:solidFill>
                      <a:srgbClr val="FFC000"/>
                    </a:solidFill>
                    <a:effectLst/>
                  </a:rPr>
                  <a:t>Meets standards           </a:t>
                </a:r>
                <a:r>
                  <a:rPr lang="en-US" sz="1000" b="1" baseline="0">
                    <a:solidFill>
                      <a:srgbClr val="00B050"/>
                    </a:solidFill>
                  </a:rPr>
                  <a:t>Reflects best practices</a:t>
                </a:r>
                <a:endParaRPr lang="en-US" sz="1000" b="1" baseline="0">
                  <a:solidFill>
                    <a:srgbClr val="FF0000"/>
                  </a:solidFill>
                </a:endParaRPr>
              </a:p>
            </c:rich>
          </c:tx>
          <c:layout>
            <c:manualLayout>
              <c:xMode val="edge"/>
              <c:yMode val="edge"/>
              <c:x val="0.1973894001201657"/>
              <c:y val="0.885714285714285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105809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Marie Barrette</dc:creator>
  <cp:keywords/>
  <dc:description/>
  <cp:lastModifiedBy>Reviewer</cp:lastModifiedBy>
  <cp:revision>15</cp:revision>
  <cp:lastPrinted>2018-07-02T13:14:00Z</cp:lastPrinted>
  <dcterms:created xsi:type="dcterms:W3CDTF">2020-11-30T17:57:00Z</dcterms:created>
  <dcterms:modified xsi:type="dcterms:W3CDTF">2021-09-13T15:54:00Z</dcterms:modified>
</cp:coreProperties>
</file>